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a1557f7f16a286bf25c962d5622df5f123b4f1f"/>
    <w:p>
      <w:pPr>
        <w:pStyle w:val="Heading1"/>
      </w:pPr>
      <w:r>
        <w:t xml:space="preserve">Kinder Morgan (KMI) — Q2 2026 Earnings Preview</w:t>
      </w:r>
    </w:p>
    <w:p>
      <w:pPr>
        <w:pStyle w:val="BlockText"/>
      </w:pPr>
      <w:r>
        <w:rPr>
          <w:b/>
          <w:bCs/>
        </w:rPr>
        <w:t xml:space="preserve">Timing correction:</w:t>
      </w:r>
      <w:r>
        <w:t xml:space="preserve"> </w:t>
      </w:r>
      <w:r>
        <w:t xml:space="preserve">Kinder Morgan reports</w:t>
      </w:r>
      <w:r>
        <w:t xml:space="preserve"> </w:t>
      </w:r>
      <w:r>
        <w:rPr>
          <w:b/>
          <w:bCs/>
        </w:rPr>
        <w:t xml:space="preserve">today, Wednesday, July 22, 2026</w:t>
      </w:r>
      <w:r>
        <w:t xml:space="preserve">, after the market closes—not tomorrow. The earnings call begins at</w:t>
      </w:r>
      <w:r>
        <w:t xml:space="preserve"> </w:t>
      </w:r>
      <w:r>
        <w:rPr>
          <w:b/>
          <w:bCs/>
        </w:rPr>
        <w:t xml:space="preserve">4:30 p.m. ET</w:t>
      </w:r>
      <w:r>
        <w:t xml:space="preserve">. (</w:t>
      </w:r>
      <w:hyperlink r:id="rId9">
        <w:r>
          <w:rPr>
            <w:rStyle w:val="Hyperlink"/>
          </w:rPr>
          <w:t xml:space="preserve">ir.kindermorgan.com</w:t>
        </w:r>
      </w:hyperlink>
      <w:r>
        <w:t xml:space="preserve">)</w:t>
      </w:r>
    </w:p>
    <w:bookmarkStart w:id="10" w:name="investment-view-going-into-the-report"/>
    <w:p>
      <w:pPr>
        <w:pStyle w:val="Heading2"/>
      </w:pPr>
      <w:r>
        <w:t xml:space="preserve">Investment view going into the report</w:t>
      </w:r>
    </w:p>
    <w:p>
      <w:pPr>
        <w:pStyle w:val="FirstParagraph"/>
      </w:pPr>
      <w:r>
        <w:t xml:space="preserve">KMI enters Q2 with unusually strong momentum for a typically steady midstream company. First-quarter adjusted EBITDA increased 18%, adjusted EPS rose 41%, leverage fell to 3.6x, and management said full-year results should exceed budget by more than 3%—before including the Monument Pipeline acquisition.</w:t>
      </w:r>
    </w:p>
    <w:p>
      <w:pPr>
        <w:pStyle w:val="BodyText"/>
      </w:pPr>
      <w:r>
        <w:t xml:space="preserve">That creates a higher bar for tonight’s report. The central question is not whether KMI beats quarterly EPS by a few cents. It is whether management:</w:t>
      </w:r>
    </w:p>
    <w:p>
      <w:pPr>
        <w:pStyle w:val="Compact"/>
        <w:numPr>
          <w:ilvl w:val="0"/>
          <w:numId w:val="1001"/>
        </w:numPr>
      </w:pPr>
      <w:r>
        <w:rPr>
          <w:b/>
          <w:bCs/>
        </w:rPr>
        <w:t xml:space="preserve">Raises and formalizes 2026 guidance;</w:t>
      </w:r>
    </w:p>
    <w:p>
      <w:pPr>
        <w:pStyle w:val="Compact"/>
        <w:numPr>
          <w:ilvl w:val="0"/>
          <w:numId w:val="1001"/>
        </w:numPr>
      </w:pPr>
      <w:r>
        <w:t xml:space="preserve">Shows that Q1’s strength was more than weather and one-time benefits;</w:t>
      </w:r>
    </w:p>
    <w:p>
      <w:pPr>
        <w:pStyle w:val="Compact"/>
        <w:numPr>
          <w:ilvl w:val="0"/>
          <w:numId w:val="1001"/>
        </w:numPr>
      </w:pPr>
      <w:r>
        <w:t xml:space="preserve">Adds meaningful projects to its already large backlog; and</w:t>
      </w:r>
    </w:p>
    <w:p>
      <w:pPr>
        <w:pStyle w:val="Compact"/>
        <w:numPr>
          <w:ilvl w:val="0"/>
          <w:numId w:val="1001"/>
        </w:numPr>
      </w:pPr>
      <w:r>
        <w:t xml:space="preserve">Keeps major projects on schedule and within budget.</w:t>
      </w:r>
    </w:p>
    <w:p>
      <w:pPr>
        <w:pStyle w:val="FirstParagraph"/>
      </w:pPr>
      <w:r>
        <w:t xml:space="preserve">The shares closed July 21 at</w:t>
      </w:r>
      <w:r>
        <w:t xml:space="preserve"> </w:t>
      </w:r>
      <w:r>
        <w:rPr>
          <w:b/>
          <w:bCs/>
        </w:rPr>
        <w:t xml:space="preserve">$32.39</w:t>
      </w:r>
      <w:r>
        <w:t xml:space="preserve">, up approximately</w:t>
      </w:r>
      <w:r>
        <w:t xml:space="preserve"> </w:t>
      </w:r>
      <w:r>
        <w:rPr>
          <w:b/>
          <w:bCs/>
        </w:rPr>
        <w:t xml:space="preserve">18% in 2026</w:t>
      </w:r>
      <w:r>
        <w:t xml:space="preserve">, so the market is already pricing in a constructive natural-gas growth story.</w:t>
      </w:r>
    </w:p>
    <w:p>
      <w:r>
        <w:pict>
          <v:rect style="width:0;height:1.5pt" o:hralign="center" o:hrstd="t" o:hr="t"/>
        </w:pict>
      </w:r>
    </w:p>
    <w:bookmarkEnd w:id="10"/>
    <w:bookmarkStart w:id="13" w:name="consensus-expectations"/>
    <w:p>
      <w:pPr>
        <w:pStyle w:val="Heading2"/>
      </w:pPr>
      <w:r>
        <w:t xml:space="preserve">Consensus expectations</w:t>
      </w:r>
    </w:p>
    <w:p>
      <w:pPr>
        <w:pStyle w:val="FirstParagraph"/>
      </w:pPr>
      <w:r>
        <w:t xml:space="preserve">Published estimates vary slightly by provider: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w:t>
            </w:r>
          </w:p>
        </w:tc>
      </w:tr>
      <w:tr>
        <w:tc>
          <w:tcPr/>
          <w:p>
            <w:pPr>
              <w:pStyle w:val="Compact"/>
            </w:pPr>
            <w:r>
              <w:t xml:space="preserve">Adjusted EPS</w:t>
            </w:r>
          </w:p>
        </w:tc>
        <w:tc>
          <w:tcPr/>
          <w:p>
            <w:pPr>
              <w:pStyle w:val="Compact"/>
              <w:jc w:val="right"/>
            </w:pPr>
            <m:oMath>
              <m:r>
                <m:t>0.31</m:t>
              </m:r>
              <m:r>
                <m:rPr>
                  <m:sty m:val="p"/>
                </m:rPr>
                <m:t>–</m:t>
              </m:r>
            </m:oMath>
            <w:r>
              <w:rPr>
                <w:b/>
                <w:bCs/>
              </w:rPr>
              <w:t xml:space="preserve">0.32</w:t>
            </w:r>
          </w:p>
        </w:tc>
        <w:tc>
          <w:tcPr/>
          <w:p>
            <w:pPr>
              <w:pStyle w:val="Compact"/>
              <w:jc w:val="right"/>
            </w:pPr>
            <w:r>
              <w:t xml:space="preserve">$0.28</w:t>
            </w:r>
          </w:p>
        </w:tc>
      </w:tr>
      <w:tr>
        <w:tc>
          <w:tcPr/>
          <w:p>
            <w:pPr>
              <w:pStyle w:val="Compact"/>
            </w:pPr>
            <w:r>
              <w:t xml:space="preserve">Revenue</w:t>
            </w:r>
          </w:p>
        </w:tc>
        <w:tc>
          <w:tcPr/>
          <w:p>
            <w:pPr>
              <w:pStyle w:val="Compact"/>
              <w:jc w:val="right"/>
            </w:pPr>
            <m:oMath>
              <m:r>
                <m:t>4.24</m:t>
              </m:r>
              <m:r>
                <m:rPr>
                  <m:sty m:val="p"/>
                </m:rPr>
                <m:t>–</m:t>
              </m:r>
            </m:oMath>
            <w:r>
              <w:rPr>
                <w:b/>
                <w:bCs/>
              </w:rPr>
              <w:t xml:space="preserve">4.29 billion</w:t>
            </w:r>
          </w:p>
        </w:tc>
        <w:tc>
          <w:tcPr/>
          <w:p>
            <w:pPr>
              <w:pStyle w:val="Compact"/>
              <w:jc w:val="right"/>
            </w:pPr>
            <w:r>
              <w:t xml:space="preserve">$4.04 billion</w:t>
            </w:r>
          </w:p>
        </w:tc>
      </w:tr>
      <w:tr>
        <w:tc>
          <w:tcPr/>
          <w:p>
            <w:pPr>
              <w:pStyle w:val="Compact"/>
            </w:pPr>
            <w:r>
              <w:t xml:space="preserve">Adjusted EBITDA</w:t>
            </w:r>
          </w:p>
        </w:tc>
        <w:tc>
          <w:tcPr/>
          <w:p>
            <w:pPr>
              <w:pStyle w:val="Compact"/>
              <w:jc w:val="right"/>
            </w:pPr>
            <w:r>
              <w:t xml:space="preserve">Approximately</w:t>
            </w:r>
            <w:r>
              <w:t xml:space="preserve"> </w:t>
            </w:r>
            <w:r>
              <w:rPr>
                <w:b/>
                <w:bCs/>
              </w:rPr>
              <w:t xml:space="preserve">$2.05 billion</w:t>
            </w:r>
            <w:r>
              <w:t xml:space="preserve"> </w:t>
            </w:r>
            <w:r>
              <w:t xml:space="preserve">based on one recent sell-side estimate</w:t>
            </w:r>
          </w:p>
        </w:tc>
        <w:tc>
          <w:tcPr/>
          <w:p>
            <w:pPr>
              <w:pStyle w:val="Compact"/>
              <w:jc w:val="right"/>
            </w:pPr>
            <w:r>
              <w:t xml:space="preserve">—</w:t>
            </w:r>
          </w:p>
        </w:tc>
      </w:tr>
    </w:tbl>
    <w:p>
      <w:pPr>
        <w:pStyle w:val="BodyText"/>
      </w:pPr>
      <w:r>
        <w:t xml:space="preserve">Wall Street’s segment expectations include approximately</w:t>
      </w:r>
      <w:r>
        <w:t xml:space="preserve"> </w:t>
      </w:r>
      <w:r>
        <w:rPr>
          <w:b/>
          <w:bCs/>
        </w:rPr>
        <w:t xml:space="preserve">$1.43 billion</w:t>
      </w:r>
      <w:r>
        <w:t xml:space="preserve"> </w:t>
      </w:r>
      <w:r>
        <w:t xml:space="preserve">of Natural Gas Pipelines EBDA, $305 million from Products Pipelines, $294 million from Terminals, and $189 million from CO₂. That would make natural-gas segment earnings roughly flat year over year despite growth elsewhere. (</w:t>
      </w:r>
      <w:hyperlink r:id="rId11">
        <w:r>
          <w:rPr>
            <w:rStyle w:val="Hyperlink"/>
          </w:rPr>
          <w:t xml:space="preserve">zacks.com</w:t>
        </w:r>
      </w:hyperlink>
      <w:r>
        <w:t xml:space="preserve">)</w:t>
      </w:r>
    </w:p>
    <w:p>
      <w:pPr>
        <w:pStyle w:val="BodyText"/>
      </w:pPr>
      <w:r>
        <w:t xml:space="preserve">Investors should expect a substantial sequential decline from Q1’s</w:t>
      </w:r>
      <w:r>
        <w:t xml:space="preserve"> </w:t>
      </w:r>
      <w:r>
        <w:rPr>
          <w:b/>
          <w:bCs/>
        </w:rPr>
        <w:t xml:space="preserve">$0.48 adjusted EPS and $2.54 billion adjusted EBITDA</w:t>
      </w:r>
      <w:r>
        <w:t xml:space="preserve">. Q1 benefited from severe winter weather, elevated Northeast demand and a terminal-contract termination payment, whereas Q2 is seasonally less favorable. A sequential decline by itself would not indicate that the underlying thesis has weakened. (</w:t>
      </w:r>
      <w:hyperlink r:id="rId12">
        <w:r>
          <w:rPr>
            <w:rStyle w:val="Hyperlink"/>
          </w:rPr>
          <w:t xml:space="preserve">ir.kindermorgan.com</w:t>
        </w:r>
      </w:hyperlink>
      <w:r>
        <w:t xml:space="preserve">)</w:t>
      </w:r>
    </w:p>
    <w:p>
      <w:r>
        <w:pict>
          <v:rect style="width:0;height:1.5pt" o:hralign="center" o:hrstd="t" o:hr="t"/>
        </w:pict>
      </w:r>
    </w:p>
    <w:bookmarkEnd w:id="13"/>
    <w:bookmarkStart w:id="16" w:name="X057df13518fb136be801e4be18f4ea9877b02f1"/>
    <w:p>
      <w:pPr>
        <w:pStyle w:val="Heading2"/>
      </w:pPr>
      <w:r>
        <w:t xml:space="preserve">The most important issue: full-year guidance</w:t>
      </w:r>
    </w:p>
    <w:p>
      <w:pPr>
        <w:pStyle w:val="FirstParagraph"/>
      </w:pPr>
      <w:r>
        <w:t xml:space="preserve">KMI’s original 2026 budget called for:</w:t>
      </w:r>
    </w:p>
    <w:p>
      <w:pPr>
        <w:pStyle w:val="Compact"/>
        <w:numPr>
          <w:ilvl w:val="0"/>
          <w:numId w:val="1002"/>
        </w:numPr>
      </w:pPr>
      <w:r>
        <w:rPr>
          <w:b/>
          <w:bCs/>
        </w:rPr>
        <w:t xml:space="preserve">Adjusted EPS:</w:t>
      </w:r>
      <w:r>
        <w:t xml:space="preserve"> </w:t>
      </w:r>
      <w:r>
        <w:t xml:space="preserve">$1.36</w:t>
      </w:r>
    </w:p>
    <w:p>
      <w:pPr>
        <w:pStyle w:val="Compact"/>
        <w:numPr>
          <w:ilvl w:val="0"/>
          <w:numId w:val="1002"/>
        </w:numPr>
      </w:pPr>
      <w:r>
        <w:rPr>
          <w:b/>
          <w:bCs/>
        </w:rPr>
        <w:t xml:space="preserve">Adjusted EBITDA:</w:t>
      </w:r>
      <w:r>
        <w:t xml:space="preserve"> </w:t>
      </w:r>
      <w:r>
        <w:t xml:space="preserve">$8.6 billion</w:t>
      </w:r>
    </w:p>
    <w:p>
      <w:pPr>
        <w:pStyle w:val="Compact"/>
        <w:numPr>
          <w:ilvl w:val="0"/>
          <w:numId w:val="1002"/>
        </w:numPr>
      </w:pPr>
      <w:r>
        <w:rPr>
          <w:b/>
          <w:bCs/>
        </w:rPr>
        <w:t xml:space="preserve">Dividend:</w:t>
      </w:r>
      <w:r>
        <w:t xml:space="preserve"> </w:t>
      </w:r>
      <w:r>
        <w:t xml:space="preserve">$1.19 per share</w:t>
      </w:r>
    </w:p>
    <w:p>
      <w:pPr>
        <w:pStyle w:val="Compact"/>
        <w:numPr>
          <w:ilvl w:val="0"/>
          <w:numId w:val="1002"/>
        </w:numPr>
      </w:pPr>
      <w:r>
        <w:rPr>
          <w:b/>
          <w:bCs/>
        </w:rPr>
        <w:t xml:space="preserve">Year-end leverage:</w:t>
      </w:r>
      <w:r>
        <w:t xml:space="preserve"> </w:t>
      </w:r>
      <w:r>
        <w:t xml:space="preserve">3.8x</w:t>
      </w:r>
    </w:p>
    <w:p>
      <w:pPr>
        <w:pStyle w:val="Compact"/>
        <w:numPr>
          <w:ilvl w:val="0"/>
          <w:numId w:val="1002"/>
        </w:numPr>
      </w:pPr>
      <w:r>
        <w:rPr>
          <w:b/>
          <w:bCs/>
        </w:rPr>
        <w:t xml:space="preserve">Discretionary capital:</w:t>
      </w:r>
      <w:r>
        <w:t xml:space="preserve"> </w:t>
      </w:r>
      <w:r>
        <w:t xml:space="preserve">approximately $3.3 billion</w:t>
      </w:r>
    </w:p>
    <w:p>
      <w:pPr>
        <w:pStyle w:val="FirstParagraph"/>
      </w:pPr>
      <w:r>
        <w:t xml:space="preserve">Following Q1, management said adjusted EBITDA and the other principal earnings metrics were trending</w:t>
      </w:r>
      <w:r>
        <w:t xml:space="preserve"> </w:t>
      </w:r>
      <w:r>
        <w:rPr>
          <w:b/>
          <w:bCs/>
        </w:rPr>
        <w:t xml:space="preserve">more than 3% above budget</w:t>
      </w:r>
      <w:r>
        <w:t xml:space="preserve">. That implies adjusted EBITDA above roughly</w:t>
      </w:r>
      <w:r>
        <w:t xml:space="preserve"> </w:t>
      </w:r>
      <w:r>
        <w:rPr>
          <w:b/>
          <w:bCs/>
        </w:rPr>
        <w:t xml:space="preserve">$8.86 billion</w:t>
      </w:r>
      <w:r>
        <w:t xml:space="preserve">, even before Monument’s contribution. Management also expected year-end leverage of approximately</w:t>
      </w:r>
      <w:r>
        <w:t xml:space="preserve"> </w:t>
      </w:r>
      <w:r>
        <w:rPr>
          <w:b/>
          <w:bCs/>
        </w:rPr>
        <w:t xml:space="preserve">3.7x</w:t>
      </w:r>
      <w:r>
        <w:t xml:space="preserve">, better than the budgeted 3.8x. (</w:t>
      </w:r>
      <w:hyperlink r:id="rId14">
        <w:r>
          <w:rPr>
            <w:rStyle w:val="Hyperlink"/>
          </w:rPr>
          <w:t xml:space="preserve">s24.q4cdn.com</w:t>
        </w:r>
      </w:hyperlink>
      <w:r>
        <w:t xml:space="preserve">)</w:t>
      </w:r>
    </w:p>
    <w:bookmarkStart w:id="15" w:name="what-would-constitute-a-good-update"/>
    <w:p>
      <w:pPr>
        <w:pStyle w:val="Heading3"/>
      </w:pPr>
      <w:r>
        <w:t xml:space="preserve">What would constitute a good update?</w:t>
      </w:r>
    </w:p>
    <w:p>
      <w:pPr>
        <w:pStyle w:val="FirstParagraph"/>
      </w:pPr>
      <w:r>
        <w:t xml:space="preserve">A favorable report would include:</w:t>
      </w:r>
    </w:p>
    <w:p>
      <w:pPr>
        <w:pStyle w:val="Compact"/>
        <w:numPr>
          <w:ilvl w:val="0"/>
          <w:numId w:val="1003"/>
        </w:numPr>
      </w:pPr>
      <w:r>
        <w:t xml:space="preserve">Formal adjusted EBITDA guidance of at least</w:t>
      </w:r>
      <w:r>
        <w:t xml:space="preserve"> </w:t>
      </w:r>
      <w:r>
        <w:rPr>
          <w:b/>
          <w:bCs/>
        </w:rPr>
        <w:t xml:space="preserve">$8.9 billion</w:t>
      </w:r>
      <w:r>
        <w:t xml:space="preserve">;</w:t>
      </w:r>
    </w:p>
    <w:p>
      <w:pPr>
        <w:pStyle w:val="Compact"/>
        <w:numPr>
          <w:ilvl w:val="0"/>
          <w:numId w:val="1003"/>
        </w:numPr>
      </w:pPr>
      <w:r>
        <w:t xml:space="preserve">Adjusted EPS guidance around or above</w:t>
      </w:r>
      <w:r>
        <w:t xml:space="preserve"> </w:t>
      </w:r>
      <w:r>
        <w:rPr>
          <w:b/>
          <w:bCs/>
        </w:rPr>
        <w:t xml:space="preserve">$1.40</w:t>
      </w:r>
      <w:r>
        <w:t xml:space="preserve">;</w:t>
      </w:r>
    </w:p>
    <w:p>
      <w:pPr>
        <w:pStyle w:val="Compact"/>
        <w:numPr>
          <w:ilvl w:val="0"/>
          <w:numId w:val="1003"/>
        </w:numPr>
      </w:pPr>
      <w:r>
        <w:t xml:space="preserve">Monument incorporated without weakening the leverage outlook;</w:t>
      </w:r>
    </w:p>
    <w:p>
      <w:pPr>
        <w:pStyle w:val="Compact"/>
        <w:numPr>
          <w:ilvl w:val="0"/>
          <w:numId w:val="1003"/>
        </w:numPr>
      </w:pPr>
      <w:r>
        <w:t xml:space="preserve">Confirmation that the underlying gas business remains ahead of plan after excluding weather;</w:t>
      </w:r>
    </w:p>
    <w:p>
      <w:pPr>
        <w:pStyle w:val="Compact"/>
        <w:numPr>
          <w:ilvl w:val="0"/>
          <w:numId w:val="1003"/>
        </w:numPr>
      </w:pPr>
      <w:r>
        <w:t xml:space="preserve">Potentially a further increase if higher oil prices and gas-pipeline utilization persisted through Q2.</w:t>
      </w:r>
    </w:p>
    <w:p>
      <w:pPr>
        <w:pStyle w:val="FirstParagraph"/>
      </w:pPr>
      <w:r>
        <w:t xml:space="preserve">Merely repeating “more than 3% above budget” may be seen as conservative or disappointing, especially after management said in April that it expected additional outperformance during the rest of the year.</w:t>
      </w:r>
    </w:p>
    <w:p>
      <w:r>
        <w:pict>
          <v:rect style="width:0;height:1.5pt" o:hralign="center" o:hrstd="t" o:hr="t"/>
        </w:pict>
      </w:r>
    </w:p>
    <w:bookmarkEnd w:id="15"/>
    <w:bookmarkEnd w:id="16"/>
    <w:bookmarkStart w:id="17" w:name="Xb15b1393105deb6e1d43fdb64d1811cf31fd805"/>
    <w:p>
      <w:pPr>
        <w:pStyle w:val="Heading2"/>
      </w:pPr>
      <w:r>
        <w:t xml:space="preserve">Natural gas: distinguish structural strength from Q1 weather</w:t>
      </w:r>
    </w:p>
    <w:p>
      <w:pPr>
        <w:pStyle w:val="FirstParagraph"/>
      </w:pPr>
      <w:r>
        <w:t xml:space="preserve">Natural Gas Pipelines generated most of the Q1 upside. Transport volumes increased 8%, gathering volumes rose 15%, and utilization across KMI’s five largest gas pipelines had reached approximately 90% in 2025, versus 74% in 2016.</w:t>
      </w:r>
    </w:p>
    <w:p>
      <w:pPr>
        <w:pStyle w:val="BodyText"/>
      </w:pPr>
      <w:r>
        <w:t xml:space="preserve">The Q2 comparison is more demanding because the first quarter included Storm Fern and extended Northeast cold. Investors should therefore focus on underlying indicators:</w:t>
      </w:r>
    </w:p>
    <w:p>
      <w:pPr>
        <w:pStyle w:val="Compact"/>
        <w:numPr>
          <w:ilvl w:val="0"/>
          <w:numId w:val="1004"/>
        </w:numPr>
      </w:pPr>
      <w:r>
        <w:t xml:space="preserve">LNG feed-gas deliveries on Tennessee Gas Pipeline;</w:t>
      </w:r>
    </w:p>
    <w:p>
      <w:pPr>
        <w:pStyle w:val="Compact"/>
        <w:numPr>
          <w:ilvl w:val="0"/>
          <w:numId w:val="1004"/>
        </w:numPr>
      </w:pPr>
      <w:r>
        <w:t xml:space="preserve">Texas Intrastate utilization and capacity sales;</w:t>
      </w:r>
    </w:p>
    <w:p>
      <w:pPr>
        <w:pStyle w:val="Compact"/>
        <w:numPr>
          <w:ilvl w:val="0"/>
          <w:numId w:val="1004"/>
        </w:numPr>
      </w:pPr>
      <w:r>
        <w:t xml:space="preserve">KinderHawk/Haynesville gathering volumes;</w:t>
      </w:r>
    </w:p>
    <w:p>
      <w:pPr>
        <w:pStyle w:val="Compact"/>
        <w:numPr>
          <w:ilvl w:val="0"/>
          <w:numId w:val="1004"/>
        </w:numPr>
      </w:pPr>
      <w:r>
        <w:t xml:space="preserve">Storage contracting and utilization;</w:t>
      </w:r>
    </w:p>
    <w:p>
      <w:pPr>
        <w:pStyle w:val="Compact"/>
        <w:numPr>
          <w:ilvl w:val="0"/>
          <w:numId w:val="1004"/>
        </w:numPr>
      </w:pPr>
      <w:r>
        <w:t xml:space="preserve">Contributions from recently completed expansion projects;</w:t>
      </w:r>
    </w:p>
    <w:p>
      <w:pPr>
        <w:pStyle w:val="Compact"/>
        <w:numPr>
          <w:ilvl w:val="0"/>
          <w:numId w:val="1004"/>
        </w:numPr>
      </w:pPr>
      <w:r>
        <w:t xml:space="preserve">The magnitude of opportunities tied to data centers and power generation.</w:t>
      </w:r>
    </w:p>
    <w:p>
      <w:pPr>
        <w:pStyle w:val="FirstParagraph"/>
      </w:pPr>
      <w:r>
        <w:t xml:space="preserve">KMI has said it is pursuing more than</w:t>
      </w:r>
      <w:r>
        <w:t xml:space="preserve"> </w:t>
      </w:r>
      <w:r>
        <w:rPr>
          <w:b/>
          <w:bCs/>
        </w:rPr>
        <w:t xml:space="preserve">10 Bcf/d of power-sector opportunities</w:t>
      </w:r>
      <w:r>
        <w:t xml:space="preserve"> </w:t>
      </w:r>
      <w:r>
        <w:t xml:space="preserve">and over</w:t>
      </w:r>
      <w:r>
        <w:t xml:space="preserve"> </w:t>
      </w:r>
      <w:r>
        <w:rPr>
          <w:b/>
          <w:bCs/>
        </w:rPr>
        <w:t xml:space="preserve">3 Bcf/d of LNG opportunities</w:t>
      </w:r>
      <w:r>
        <w:t xml:space="preserve">. Its April presentation also identified more than</w:t>
      </w:r>
      <w:r>
        <w:t xml:space="preserve"> </w:t>
      </w:r>
      <w:r>
        <w:rPr>
          <w:b/>
          <w:bCs/>
        </w:rPr>
        <w:t xml:space="preserve">$10 billion of potential projects beyond the approved backlog</w:t>
      </w:r>
      <w:r>
        <w:t xml:space="preserve">, approximately 90% driven by power and LNG demand. (</w:t>
      </w:r>
      <w:hyperlink r:id="rId14">
        <w:r>
          <w:rPr>
            <w:rStyle w:val="Hyperlink"/>
          </w:rPr>
          <w:t xml:space="preserve">s24.q4cdn.com</w:t>
        </w:r>
      </w:hyperlink>
      <w:r>
        <w:t xml:space="preserve">)</w:t>
      </w:r>
    </w:p>
    <w:p>
      <w:pPr>
        <w:pStyle w:val="BodyText"/>
      </w:pPr>
      <w:r>
        <w:t xml:space="preserve">A particularly constructive signal would be another meaningful increase in the backlog from projects serving data centers, utilities or LNG export facilities.</w:t>
      </w:r>
    </w:p>
    <w:p>
      <w:r>
        <w:pict>
          <v:rect style="width:0;height:1.5pt" o:hralign="center" o:hrstd="t" o:hr="t"/>
        </w:pict>
      </w:r>
    </w:p>
    <w:bookmarkEnd w:id="17"/>
    <w:bookmarkStart w:id="23" w:name="backlog-and-project-execution"/>
    <w:p>
      <w:pPr>
        <w:pStyle w:val="Heading2"/>
      </w:pPr>
      <w:r>
        <w:t xml:space="preserve">Backlog and project execution</w:t>
      </w:r>
    </w:p>
    <w:p>
      <w:pPr>
        <w:pStyle w:val="FirstParagraph"/>
      </w:pPr>
      <w:r>
        <w:t xml:space="preserve">KMI ended Q1 with a</w:t>
      </w:r>
      <w:r>
        <w:t xml:space="preserve"> </w:t>
      </w:r>
      <w:r>
        <w:rPr>
          <w:b/>
          <w:bCs/>
        </w:rPr>
        <w:t xml:space="preserve">$10.1 billion project backlog</w:t>
      </w:r>
      <w:r>
        <w:t xml:space="preserve">, about 92% related to natural gas. Excluding gathering, processing and enhanced-oil-recovery projects, the backlog carried an attractive estimated EBITDA build multiple of approximately</w:t>
      </w:r>
      <w:r>
        <w:t xml:space="preserve"> </w:t>
      </w:r>
      <w:r>
        <w:rPr>
          <w:b/>
          <w:bCs/>
        </w:rPr>
        <w:t xml:space="preserve">5.6x</w:t>
      </w:r>
      <w:r>
        <w:t xml:space="preserve"> </w:t>
      </w:r>
      <w:r>
        <w:t xml:space="preserve">and a capital-weighted average in-service date of Q1 2028. (</w:t>
      </w:r>
      <w:hyperlink r:id="rId14">
        <w:r>
          <w:rPr>
            <w:rStyle w:val="Hyperlink"/>
          </w:rPr>
          <w:t xml:space="preserve">s24.q4cdn.com</w:t>
        </w:r>
      </w:hyperlink>
      <w:r>
        <w:t xml:space="preserve">)</w:t>
      </w:r>
    </w:p>
    <w:bookmarkStart w:id="22" w:name="major-projects-to-monitor"/>
    <w:p>
      <w:pPr>
        <w:pStyle w:val="Heading3"/>
      </w:pPr>
      <w:r>
        <w:t xml:space="preserve">Major projects to monitor</w:t>
      </w:r>
    </w:p>
    <w:bookmarkStart w:id="18" w:name="trident-pipeline"/>
    <w:p>
      <w:pPr>
        <w:pStyle w:val="Heading4"/>
      </w:pPr>
      <w:r>
        <w:t xml:space="preserve">Trident Pipeline</w:t>
      </w:r>
    </w:p>
    <w:p>
      <w:pPr>
        <w:pStyle w:val="FirstParagraph"/>
      </w:pPr>
      <w:r>
        <w:t xml:space="preserve">The $1.8 billion, 2 Bcf/d Trident project is scheduled to begin initial service in Q1 2027, with its second phase expected in Q4 2028. Because customer contracts start at different times, KMI expects only about 30% of full run-rate project EBITDA in 2027 and 80% in 2028. Investors should watch for any movement in construction cost, timing or the 2027 earnings ramp. (</w:t>
      </w:r>
      <w:hyperlink r:id="rId14">
        <w:r>
          <w:rPr>
            <w:rStyle w:val="Hyperlink"/>
          </w:rPr>
          <w:t xml:space="preserve">s24.q4cdn.com</w:t>
        </w:r>
      </w:hyperlink>
      <w:r>
        <w:t xml:space="preserve">)</w:t>
      </w:r>
    </w:p>
    <w:bookmarkEnd w:id="18"/>
    <w:bookmarkStart w:id="20" w:name="Xb71e538a3349ae51df8b5d8d24def63956a2e64"/>
    <w:p>
      <w:pPr>
        <w:pStyle w:val="Heading4"/>
      </w:pPr>
      <w:r>
        <w:t xml:space="preserve">Mississippi Crossing and South System Expansion 4</w:t>
      </w:r>
    </w:p>
    <w:p>
      <w:pPr>
        <w:pStyle w:val="FirstParagraph"/>
      </w:pPr>
      <w:r>
        <w:t xml:space="preserve">These two projects represent approximately</w:t>
      </w:r>
      <w:r>
        <w:t xml:space="preserve"> </w:t>
      </w:r>
      <w:r>
        <w:rPr>
          <w:b/>
          <w:bCs/>
        </w:rPr>
        <w:t xml:space="preserve">$3.5 billion of KMI-share capital</w:t>
      </w:r>
      <w:r>
        <w:t xml:space="preserve"> </w:t>
      </w:r>
      <w:r>
        <w:t xml:space="preserve">and are among the largest components of the backlog. FERC issued its final environmental impact statement on June 26, but, as of July 22, the projects had not yet received final approval. FERC’s current schedule calls for a final order no later than</w:t>
      </w:r>
      <w:r>
        <w:t xml:space="preserve"> </w:t>
      </w:r>
      <w:r>
        <w:rPr>
          <w:b/>
          <w:bCs/>
        </w:rPr>
        <w:t xml:space="preserve">July 31, 2026</w:t>
      </w:r>
      <w:r>
        <w:t xml:space="preserve">. (</w:t>
      </w:r>
      <w:hyperlink r:id="rId19">
        <w:r>
          <w:rPr>
            <w:rStyle w:val="Hyperlink"/>
          </w:rPr>
          <w:t xml:space="preserve">ferc.gov</w:t>
        </w:r>
      </w:hyperlink>
      <w:r>
        <w:t xml:space="preserve">)</w:t>
      </w:r>
    </w:p>
    <w:p>
      <w:pPr>
        <w:pStyle w:val="BodyText"/>
      </w:pPr>
      <w:r>
        <w:t xml:space="preserve">Management’s confidence in permitting—and whether any preparatory work or costs have changed—will matter.</w:t>
      </w:r>
    </w:p>
    <w:bookmarkEnd w:id="20"/>
    <w:bookmarkStart w:id="21" w:name="X162ed94c53b6a043cdd1a9aa87970ce37241087"/>
    <w:p>
      <w:pPr>
        <w:pStyle w:val="Heading4"/>
      </w:pPr>
      <w:r>
        <w:t xml:space="preserve">KinderHawk, GCX and other near-term completions</w:t>
      </w:r>
    </w:p>
    <w:p>
      <w:pPr>
        <w:pStyle w:val="FirstParagraph"/>
      </w:pPr>
      <w:r>
        <w:t xml:space="preserve">KMI previously expected the following projects to enter service during or around 2026:</w:t>
      </w:r>
    </w:p>
    <w:p>
      <w:pPr>
        <w:pStyle w:val="Compact"/>
        <w:numPr>
          <w:ilvl w:val="0"/>
          <w:numId w:val="1005"/>
        </w:numPr>
      </w:pPr>
      <w:r>
        <w:t xml:space="preserve">Plantation North/KinderHawk expansion: Q4 2026;</w:t>
      </w:r>
    </w:p>
    <w:p>
      <w:pPr>
        <w:pStyle w:val="Compact"/>
        <w:numPr>
          <w:ilvl w:val="0"/>
          <w:numId w:val="1005"/>
        </w:numPr>
      </w:pPr>
      <w:r>
        <w:t xml:space="preserve">GCX expansion: Q2 2026;</w:t>
      </w:r>
    </w:p>
    <w:p>
      <w:pPr>
        <w:pStyle w:val="Compact"/>
        <w:numPr>
          <w:ilvl w:val="0"/>
          <w:numId w:val="1005"/>
        </w:numPr>
      </w:pPr>
      <w:r>
        <w:t xml:space="preserve">Hiland Express conversion: Q2 2026;</w:t>
      </w:r>
    </w:p>
    <w:p>
      <w:pPr>
        <w:pStyle w:val="Compact"/>
        <w:numPr>
          <w:ilvl w:val="0"/>
          <w:numId w:val="1005"/>
        </w:numPr>
      </w:pPr>
      <w:r>
        <w:t xml:space="preserve">Cumberland project: Q2 2026;</w:t>
      </w:r>
    </w:p>
    <w:p>
      <w:pPr>
        <w:pStyle w:val="Compact"/>
        <w:numPr>
          <w:ilvl w:val="0"/>
          <w:numId w:val="1005"/>
        </w:numPr>
      </w:pPr>
      <w:r>
        <w:t xml:space="preserve">Creekside Lateral: Q4 2026.</w:t>
      </w:r>
    </w:p>
    <w:p>
      <w:pPr>
        <w:pStyle w:val="FirstParagraph"/>
      </w:pPr>
      <w:r>
        <w:t xml:space="preserve">Updates on completed projects will help determine whether KMI can convert its large capital program into cash flow without delays.</w:t>
      </w:r>
    </w:p>
    <w:p>
      <w:r>
        <w:pict>
          <v:rect style="width:0;height:1.5pt" o:hralign="center" o:hrstd="t" o:hr="t"/>
        </w:pict>
      </w:r>
    </w:p>
    <w:bookmarkEnd w:id="21"/>
    <w:bookmarkEnd w:id="22"/>
    <w:bookmarkEnd w:id="23"/>
    <w:bookmarkStart w:id="24" w:name="X19720d83f60ef2fc77762cb02e24d95f2e4ea4b"/>
    <w:p>
      <w:pPr>
        <w:pStyle w:val="Heading2"/>
      </w:pPr>
      <w:r>
        <w:t xml:space="preserve">Monument Pipeline: an immediate test of acquisition discipline</w:t>
      </w:r>
    </w:p>
    <w:p>
      <w:pPr>
        <w:pStyle w:val="FirstParagraph"/>
      </w:pPr>
      <w:r>
        <w:t xml:space="preserve">KMI closed the approximately</w:t>
      </w:r>
      <w:r>
        <w:t xml:space="preserve"> </w:t>
      </w:r>
      <w:r>
        <w:rPr>
          <w:b/>
          <w:bCs/>
        </w:rPr>
        <w:t xml:space="preserve">$505 million Monument Pipeline acquisition on May 1</w:t>
      </w:r>
      <w:r>
        <w:t xml:space="preserve">, so Q2 should include roughly two months of contribution. The system consists of approximately 225 miles of Houston-area pipelines serving utilities, LNG shippers and industrial customers. Its contracts have an approximately nine-year revenue-weighted remaining term. (</w:t>
      </w:r>
      <w:hyperlink r:id="rId12">
        <w:r>
          <w:rPr>
            <w:rStyle w:val="Hyperlink"/>
          </w:rPr>
          <w:t xml:space="preserve">ir.kindermorgan.com</w:t>
        </w:r>
      </w:hyperlink>
      <w:r>
        <w:t xml:space="preserve">)</w:t>
      </w:r>
    </w:p>
    <w:p>
      <w:pPr>
        <w:pStyle w:val="BodyText"/>
      </w:pPr>
      <w:r>
        <w:t xml:space="preserve">Management previously described the acquisition multiple as high-single-digit initially and below 8x over the medium term, helped by contracted expansions and integration with KMI’s storage assets.</w:t>
      </w:r>
    </w:p>
    <w:p>
      <w:pPr>
        <w:pStyle w:val="BodyText"/>
      </w:pPr>
      <w:r>
        <w:t xml:space="preserve">Investors should listen for:</w:t>
      </w:r>
    </w:p>
    <w:p>
      <w:pPr>
        <w:pStyle w:val="Compact"/>
        <w:numPr>
          <w:ilvl w:val="0"/>
          <w:numId w:val="1006"/>
        </w:numPr>
      </w:pPr>
      <w:r>
        <w:t xml:space="preserve">Actual Q2 EBITDA contribution;</w:t>
      </w:r>
    </w:p>
    <w:p>
      <w:pPr>
        <w:pStyle w:val="Compact"/>
        <w:numPr>
          <w:ilvl w:val="0"/>
          <w:numId w:val="1006"/>
        </w:numPr>
      </w:pPr>
      <w:r>
        <w:t xml:space="preserve">Integration and operating synergies;</w:t>
      </w:r>
    </w:p>
    <w:p>
      <w:pPr>
        <w:pStyle w:val="Compact"/>
        <w:numPr>
          <w:ilvl w:val="0"/>
          <w:numId w:val="1006"/>
        </w:numPr>
      </w:pPr>
      <w:r>
        <w:t xml:space="preserve">Required expansion capital;</w:t>
      </w:r>
    </w:p>
    <w:p>
      <w:pPr>
        <w:pStyle w:val="Compact"/>
        <w:numPr>
          <w:ilvl w:val="0"/>
          <w:numId w:val="1006"/>
        </w:numPr>
      </w:pPr>
      <w:r>
        <w:t xml:space="preserve">Timing for reaching the sub-8x multiple;</w:t>
      </w:r>
    </w:p>
    <w:p>
      <w:pPr>
        <w:pStyle w:val="Compact"/>
        <w:numPr>
          <w:ilvl w:val="0"/>
          <w:numId w:val="1006"/>
        </w:numPr>
      </w:pPr>
      <w:r>
        <w:t xml:space="preserve">Whether additional bolt-on acquisitions are under consideration.</w:t>
      </w:r>
    </w:p>
    <w:p>
      <w:pPr>
        <w:pStyle w:val="FirstParagraph"/>
      </w:pPr>
      <w:r>
        <w:t xml:space="preserve">A strong update would show that Monument is immediately accretive without pulling leverage materially above the revised 3.7x year-end expectation.</w:t>
      </w:r>
    </w:p>
    <w:p>
      <w:r>
        <w:pict>
          <v:rect style="width:0;height:1.5pt" o:hralign="center" o:hrstd="t" o:hr="t"/>
        </w:pict>
      </w:r>
    </w:p>
    <w:bookmarkEnd w:id="24"/>
    <w:bookmarkStart w:id="26" w:name="X2b386565f221a7ca3cd29bfc174c08b2035a733"/>
    <w:p>
      <w:pPr>
        <w:pStyle w:val="Heading2"/>
      </w:pPr>
      <w:r>
        <w:t xml:space="preserve">Western Gateway could become the largest incremental catalyst</w:t>
      </w:r>
    </w:p>
    <w:p>
      <w:pPr>
        <w:pStyle w:val="FirstParagraph"/>
      </w:pPr>
      <w:r>
        <w:t xml:space="preserve">KMI and Phillips 66 completed a successful open season for Western Gateway in April. The proposed system would combine a new pipeline from Borger, Texas, to Phoenix with a reversal of KMI’s existing Colton-to-Phoenix line, allowing Midwest and Gulf Coast refined products to reach Arizona and California. The targeted completion date is mid-2029. (</w:t>
      </w:r>
      <w:hyperlink r:id="rId25">
        <w:r>
          <w:rPr>
            <w:rStyle w:val="Hyperlink"/>
          </w:rPr>
          <w:t xml:space="preserve">ir.kindermorgan.com</w:t>
        </w:r>
      </w:hyperlink>
      <w:r>
        <w:t xml:space="preserve">)</w:t>
      </w:r>
    </w:p>
    <w:p>
      <w:pPr>
        <w:pStyle w:val="BodyText"/>
      </w:pPr>
      <w:r>
        <w:t xml:space="preserve">Western Gateway was not included in KMI’s $10.1 billion backlog as of Q1 because definitive transportation agreements, joint-venture terms and board approvals were still outstanding.</w:t>
      </w:r>
    </w:p>
    <w:p>
      <w:pPr>
        <w:pStyle w:val="BodyText"/>
      </w:pPr>
      <w:r>
        <w:t xml:space="preserve">Tonight’s most potentially market-moving project announcement would be:</w:t>
      </w:r>
    </w:p>
    <w:p>
      <w:pPr>
        <w:pStyle w:val="Compact"/>
        <w:numPr>
          <w:ilvl w:val="0"/>
          <w:numId w:val="1007"/>
        </w:numPr>
      </w:pPr>
      <w:r>
        <w:t xml:space="preserve">A final investment decision;</w:t>
      </w:r>
    </w:p>
    <w:p>
      <w:pPr>
        <w:pStyle w:val="Compact"/>
        <w:numPr>
          <w:ilvl w:val="0"/>
          <w:numId w:val="1007"/>
        </w:numPr>
      </w:pPr>
      <w:r>
        <w:t xml:space="preserve">Disclosure of total project cost and KMI’s ownership percentage;</w:t>
      </w:r>
    </w:p>
    <w:p>
      <w:pPr>
        <w:pStyle w:val="Compact"/>
        <w:numPr>
          <w:ilvl w:val="0"/>
          <w:numId w:val="1007"/>
        </w:numPr>
      </w:pPr>
      <w:r>
        <w:t xml:space="preserve">The value of assets KMI will contribute;</w:t>
      </w:r>
    </w:p>
    <w:p>
      <w:pPr>
        <w:pStyle w:val="Compact"/>
        <w:numPr>
          <w:ilvl w:val="0"/>
          <w:numId w:val="1007"/>
        </w:numPr>
      </w:pPr>
      <w:r>
        <w:t xml:space="preserve">Expected return or EBITDA multiple;</w:t>
      </w:r>
    </w:p>
    <w:p>
      <w:pPr>
        <w:pStyle w:val="Compact"/>
        <w:numPr>
          <w:ilvl w:val="0"/>
          <w:numId w:val="1007"/>
        </w:numPr>
      </w:pPr>
      <w:r>
        <w:t xml:space="preserve">Confirmation of shipper contract terms.</w:t>
      </w:r>
    </w:p>
    <w:p>
      <w:pPr>
        <w:pStyle w:val="FirstParagraph"/>
      </w:pPr>
      <w:r>
        <w:t xml:space="preserve">Given the quality of KMI’s natural-gas opportunities—many carrying build multiples below 6x—the company will need to demonstrate that Western Gateway offers competitive risk-adjusted returns.</w:t>
      </w:r>
    </w:p>
    <w:p>
      <w:r>
        <w:pict>
          <v:rect style="width:0;height:1.5pt" o:hralign="center" o:hrstd="t" o:hr="t"/>
        </w:pict>
      </w:r>
    </w:p>
    <w:bookmarkEnd w:id="26"/>
    <w:bookmarkStart w:id="30" w:name="other-operating-segments"/>
    <w:p>
      <w:pPr>
        <w:pStyle w:val="Heading2"/>
      </w:pPr>
      <w:r>
        <w:t xml:space="preserve">Other operating segments</w:t>
      </w:r>
    </w:p>
    <w:bookmarkStart w:id="27" w:name="products-pipelines"/>
    <w:p>
      <w:pPr>
        <w:pStyle w:val="Heading3"/>
      </w:pPr>
      <w:r>
        <w:t xml:space="preserve">Products Pipelines</w:t>
      </w:r>
    </w:p>
    <w:p>
      <w:pPr>
        <w:pStyle w:val="FirstParagraph"/>
      </w:pPr>
      <w:r>
        <w:t xml:space="preserve">Consensus calls for EBDA of approximately</w:t>
      </w:r>
      <w:r>
        <w:t xml:space="preserve"> </w:t>
      </w:r>
      <w:r>
        <w:rPr>
          <w:b/>
          <w:bCs/>
        </w:rPr>
        <w:t xml:space="preserve">$305 million</w:t>
      </w:r>
      <w:r>
        <w:t xml:space="preserve">, up from $289 million a year ago. Potential positives include inflation-linked tariff increases, higher transmix economics and the SFPP Tucson expansion. Risks include refined-product demand destruction from elevated fuel prices and weaker crude-pipeline volumes following the Double H conversion.</w:t>
      </w:r>
    </w:p>
    <w:bookmarkEnd w:id="27"/>
    <w:bookmarkStart w:id="28" w:name="terminals"/>
    <w:p>
      <w:pPr>
        <w:pStyle w:val="Heading3"/>
      </w:pPr>
      <w:r>
        <w:t xml:space="preserve">Terminals</w:t>
      </w:r>
    </w:p>
    <w:p>
      <w:pPr>
        <w:pStyle w:val="FirstParagraph"/>
      </w:pPr>
      <w:r>
        <w:t xml:space="preserve">The difficult issue is comparability. Q1 included recognition of payments associated with early termination of Houston Ship Channel storage agreements. Management subsequently backfilled the released capacity under long-term arrangements, but the timing of stepped-up rates means the replacement earnings may take time to appear.</w:t>
      </w:r>
    </w:p>
    <w:p>
      <w:pPr>
        <w:pStyle w:val="BodyText"/>
      </w:pPr>
      <w:r>
        <w:t xml:space="preserve">Consensus expects approximately</w:t>
      </w:r>
      <w:r>
        <w:t xml:space="preserve"> </w:t>
      </w:r>
      <w:r>
        <w:rPr>
          <w:b/>
          <w:bCs/>
        </w:rPr>
        <w:t xml:space="preserve">$294 million</w:t>
      </w:r>
      <w:r>
        <w:t xml:space="preserve"> </w:t>
      </w:r>
      <w:r>
        <w:t xml:space="preserve">of Q2 EBDA, slightly below the prior-year period. Investors should focus on tank utilization, Houston Ship Channel activity and Jones Act charter rates rather than a modest year-over-year decline.</w:t>
      </w:r>
    </w:p>
    <w:bookmarkEnd w:id="28"/>
    <w:bookmarkStart w:id="29" w:name="co₂"/>
    <w:p>
      <w:pPr>
        <w:pStyle w:val="Heading3"/>
      </w:pPr>
      <w:r>
        <w:t xml:space="preserve">CO₂</w:t>
      </w:r>
    </w:p>
    <w:p>
      <w:pPr>
        <w:pStyle w:val="FirstParagraph"/>
      </w:pPr>
      <w:r>
        <w:t xml:space="preserve">This could provide upside. Only about 10% of 2026 oil production was unhedged entering Q2, limiting direct commodity exposure, but recent higher oil prices should still help at the margin. Consensus expects approximately</w:t>
      </w:r>
      <w:r>
        <w:t xml:space="preserve"> </w:t>
      </w:r>
      <w:r>
        <w:rPr>
          <w:b/>
          <w:bCs/>
        </w:rPr>
        <w:t xml:space="preserve">$189 million</w:t>
      </w:r>
      <w:r>
        <w:t xml:space="preserve"> </w:t>
      </w:r>
      <w:r>
        <w:t xml:space="preserve">of segment EBDA, versus $150 million a year ago. KMI was also benefiting from improved SACROC production and better renewable-natural-gas operating performance. (</w:t>
      </w:r>
      <w:hyperlink r:id="rId11">
        <w:r>
          <w:rPr>
            <w:rStyle w:val="Hyperlink"/>
          </w:rPr>
          <w:t xml:space="preserve">zacks.com</w:t>
        </w:r>
      </w:hyperlink>
      <w:r>
        <w:t xml:space="preserve">)</w:t>
      </w:r>
    </w:p>
    <w:p>
      <w:r>
        <w:pict>
          <v:rect style="width:0;height:1.5pt" o:hralign="center" o:hrstd="t" o:hr="t"/>
        </w:pict>
      </w:r>
    </w:p>
    <w:bookmarkEnd w:id="29"/>
    <w:bookmarkEnd w:id="30"/>
    <w:bookmarkStart w:id="31" w:name="balance-sheet-dividend-and-valuation"/>
    <w:p>
      <w:pPr>
        <w:pStyle w:val="Heading2"/>
      </w:pPr>
      <w:r>
        <w:t xml:space="preserve">Balance sheet, dividend and valuation</w:t>
      </w:r>
    </w:p>
    <w:p>
      <w:pPr>
        <w:pStyle w:val="FirstParagraph"/>
      </w:pPr>
      <w:r>
        <w:t xml:space="preserve">KMI finished Q1 at</w:t>
      </w:r>
      <w:r>
        <w:t xml:space="preserve"> </w:t>
      </w:r>
      <w:r>
        <w:rPr>
          <w:b/>
          <w:bCs/>
        </w:rPr>
        <w:t xml:space="preserve">3.6x net debt to adjusted EBITDA</w:t>
      </w:r>
      <w:r>
        <w:t xml:space="preserve">, its lowest leverage in many years, and expected approximately 3.7x at year-end after higher capital spending and the Monument acquisition. The balance sheet is rated the equivalent of BBB+ by all three major agencies.</w:t>
      </w:r>
    </w:p>
    <w:p>
      <w:pPr>
        <w:pStyle w:val="BodyText"/>
      </w:pPr>
      <w:r>
        <w:t xml:space="preserve">At $32.39, the planned $1.19 annual dividend represents a yield of approximately</w:t>
      </w:r>
      <w:r>
        <w:t xml:space="preserve"> </w:t>
      </w:r>
      <w:r>
        <w:rPr>
          <w:b/>
          <w:bCs/>
        </w:rPr>
        <w:t xml:space="preserve">3.7%</w:t>
      </w:r>
      <w:r>
        <w:t xml:space="preserve">. Using the Q1 net-debt balance and the implied floor of more than $8.86 billion in 2026 adjusted EBITDA, KMI trades at roughly</w:t>
      </w:r>
      <w:r>
        <w:t xml:space="preserve"> </w:t>
      </w:r>
      <w:r>
        <w:rPr>
          <w:b/>
          <w:bCs/>
        </w:rPr>
        <w:t xml:space="preserve">11.7x enterprise value to adjusted EBITDA</w:t>
      </w:r>
      <w:r>
        <w:t xml:space="preserve"> </w:t>
      </w:r>
      <w:r>
        <w:t xml:space="preserve">on a simplified basis.</w:t>
      </w:r>
    </w:p>
    <w:p>
      <w:pPr>
        <w:pStyle w:val="BodyText"/>
      </w:pPr>
      <w:r>
        <w:t xml:space="preserve">That is not an excessive valuation for a company with a highly contracted business and a sizable natural-gas backlog, but it leaves less room for a report that offers only an in-line quarter and unchanged commentary.</w:t>
      </w:r>
    </w:p>
    <w:p>
      <w:r>
        <w:pict>
          <v:rect style="width:0;height:1.5pt" o:hralign="center" o:hrstd="t" o:hr="t"/>
        </w:pict>
      </w:r>
    </w:p>
    <w:bookmarkEnd w:id="31"/>
    <w:bookmarkStart w:id="35" w:name="bull-base-and-bear-cases"/>
    <w:p>
      <w:pPr>
        <w:pStyle w:val="Heading2"/>
      </w:pPr>
      <w:r>
        <w:t xml:space="preserve">Bull, base and bear cases</w:t>
      </w:r>
    </w:p>
    <w:bookmarkStart w:id="32" w:name="bull-case"/>
    <w:p>
      <w:pPr>
        <w:pStyle w:val="Heading3"/>
      </w:pPr>
      <w:r>
        <w:t xml:space="preserve">Bull case</w:t>
      </w:r>
    </w:p>
    <w:p>
      <w:pPr>
        <w:pStyle w:val="Compact"/>
        <w:numPr>
          <w:ilvl w:val="0"/>
          <w:numId w:val="1008"/>
        </w:numPr>
      </w:pPr>
      <w:r>
        <w:t xml:space="preserve">Adjusted EPS of</w:t>
      </w:r>
      <w:r>
        <w:t xml:space="preserve"> </w:t>
      </w:r>
      <w:r>
        <w:rPr>
          <w:b/>
          <w:bCs/>
        </w:rPr>
        <w:t xml:space="preserve">$0.33 or better</w:t>
      </w:r>
      <w:r>
        <w:t xml:space="preserve">;</w:t>
      </w:r>
    </w:p>
    <w:p>
      <w:pPr>
        <w:pStyle w:val="Compact"/>
        <w:numPr>
          <w:ilvl w:val="0"/>
          <w:numId w:val="1008"/>
        </w:numPr>
      </w:pPr>
      <w:r>
        <w:t xml:space="preserve">Adjusted EBITDA above approximately $2.05 billion;</w:t>
      </w:r>
    </w:p>
    <w:p>
      <w:pPr>
        <w:pStyle w:val="Compact"/>
        <w:numPr>
          <w:ilvl w:val="0"/>
          <w:numId w:val="1008"/>
        </w:numPr>
      </w:pPr>
      <w:r>
        <w:t xml:space="preserve">Full-year adjusted EBITDA guidance raised to</w:t>
      </w:r>
      <w:r>
        <w:t xml:space="preserve"> </w:t>
      </w:r>
      <w:r>
        <w:rPr>
          <w:b/>
          <w:bCs/>
        </w:rPr>
        <w:t xml:space="preserve">$9.0 billion or more</w:t>
      </w:r>
      <w:r>
        <w:t xml:space="preserve">;</w:t>
      </w:r>
    </w:p>
    <w:p>
      <w:pPr>
        <w:pStyle w:val="Compact"/>
        <w:numPr>
          <w:ilvl w:val="0"/>
          <w:numId w:val="1008"/>
        </w:numPr>
      </w:pPr>
      <w:r>
        <w:t xml:space="preserve">Monument contributing as planned;</w:t>
      </w:r>
    </w:p>
    <w:p>
      <w:pPr>
        <w:pStyle w:val="Compact"/>
        <w:numPr>
          <w:ilvl w:val="0"/>
          <w:numId w:val="1008"/>
        </w:numPr>
      </w:pPr>
      <w:r>
        <w:t xml:space="preserve">Backlog rises materially above $10.1 billion;</w:t>
      </w:r>
    </w:p>
    <w:p>
      <w:pPr>
        <w:pStyle w:val="Compact"/>
        <w:numPr>
          <w:ilvl w:val="0"/>
          <w:numId w:val="1008"/>
        </w:numPr>
      </w:pPr>
      <w:r>
        <w:t xml:space="preserve">Western Gateway reaches FID or comes close;</w:t>
      </w:r>
    </w:p>
    <w:p>
      <w:pPr>
        <w:pStyle w:val="Compact"/>
        <w:numPr>
          <w:ilvl w:val="0"/>
          <w:numId w:val="1008"/>
        </w:numPr>
      </w:pPr>
      <w:r>
        <w:t xml:space="preserve">Trident and other major projects remain on time and on budget.</w:t>
      </w:r>
    </w:p>
    <w:bookmarkEnd w:id="32"/>
    <w:bookmarkStart w:id="33" w:name="base-case"/>
    <w:p>
      <w:pPr>
        <w:pStyle w:val="Heading3"/>
      </w:pPr>
      <w:r>
        <w:t xml:space="preserve">Base case</w:t>
      </w:r>
    </w:p>
    <w:p>
      <w:pPr>
        <w:pStyle w:val="Compact"/>
        <w:numPr>
          <w:ilvl w:val="0"/>
          <w:numId w:val="1009"/>
        </w:numPr>
      </w:pPr>
      <w:r>
        <w:t xml:space="preserve">EPS around</w:t>
      </w:r>
      <w:r>
        <w:t xml:space="preserve"> </w:t>
      </w:r>
      <m:oMath>
        <m:r>
          <m:t>0.31</m:t>
        </m:r>
        <m:r>
          <m:rPr>
            <m:sty m:val="p"/>
          </m:rPr>
          <m:t>–</m:t>
        </m:r>
      </m:oMath>
      <w:r>
        <w:rPr>
          <w:b/>
          <w:bCs/>
        </w:rPr>
        <w:t xml:space="preserve">0.32</w:t>
      </w:r>
      <w:r>
        <w:t xml:space="preserve">;</w:t>
      </w:r>
    </w:p>
    <w:p>
      <w:pPr>
        <w:pStyle w:val="Compact"/>
        <w:numPr>
          <w:ilvl w:val="0"/>
          <w:numId w:val="1009"/>
        </w:numPr>
      </w:pPr>
      <w:r>
        <w:t xml:space="preserve">Guidance remains “more than 3% above budget”;</w:t>
      </w:r>
    </w:p>
    <w:p>
      <w:pPr>
        <w:pStyle w:val="Compact"/>
        <w:numPr>
          <w:ilvl w:val="0"/>
          <w:numId w:val="1009"/>
        </w:numPr>
      </w:pPr>
      <w:r>
        <w:t xml:space="preserve">Monument is incorporated with limited financial detail;</w:t>
      </w:r>
    </w:p>
    <w:p>
      <w:pPr>
        <w:pStyle w:val="Compact"/>
        <w:numPr>
          <w:ilvl w:val="0"/>
          <w:numId w:val="1009"/>
        </w:numPr>
      </w:pPr>
      <w:r>
        <w:t xml:space="preserve">Backlog is broadly stable;</w:t>
      </w:r>
    </w:p>
    <w:p>
      <w:pPr>
        <w:pStyle w:val="Compact"/>
        <w:numPr>
          <w:ilvl w:val="0"/>
          <w:numId w:val="1009"/>
        </w:numPr>
      </w:pPr>
      <w:r>
        <w:t xml:space="preserve">Management reiterates strong LNG, utility and data-center demand.</w:t>
      </w:r>
    </w:p>
    <w:p>
      <w:pPr>
        <w:pStyle w:val="FirstParagraph"/>
      </w:pPr>
      <w:r>
        <w:t xml:space="preserve">This would support the long-term thesis but might not be enough to drive a major post-earnings move after the stock’s 2026 appreciation.</w:t>
      </w:r>
    </w:p>
    <w:bookmarkEnd w:id="33"/>
    <w:bookmarkStart w:id="34" w:name="bear-case"/>
    <w:p>
      <w:pPr>
        <w:pStyle w:val="Heading3"/>
      </w:pPr>
      <w:r>
        <w:t xml:space="preserve">Bear case</w:t>
      </w:r>
    </w:p>
    <w:p>
      <w:pPr>
        <w:pStyle w:val="Compact"/>
        <w:numPr>
          <w:ilvl w:val="0"/>
          <w:numId w:val="1010"/>
        </w:numPr>
      </w:pPr>
      <w:r>
        <w:t xml:space="preserve">Natural-gas EBDA falls below expectations after normalizing for weather;</w:t>
      </w:r>
    </w:p>
    <w:p>
      <w:pPr>
        <w:pStyle w:val="Compact"/>
        <w:numPr>
          <w:ilvl w:val="0"/>
          <w:numId w:val="1010"/>
        </w:numPr>
      </w:pPr>
      <w:r>
        <w:t xml:space="preserve">Management does not formalize a guidance increase;</w:t>
      </w:r>
    </w:p>
    <w:p>
      <w:pPr>
        <w:pStyle w:val="Compact"/>
        <w:numPr>
          <w:ilvl w:val="0"/>
          <w:numId w:val="1010"/>
        </w:numPr>
      </w:pPr>
      <w:r>
        <w:t xml:space="preserve">Project costs rise or in-service dates slip;</w:t>
      </w:r>
    </w:p>
    <w:p>
      <w:pPr>
        <w:pStyle w:val="Compact"/>
        <w:numPr>
          <w:ilvl w:val="0"/>
          <w:numId w:val="1010"/>
        </w:numPr>
      </w:pPr>
      <w:r>
        <w:t xml:space="preserve">FERC timing becomes less certain;</w:t>
      </w:r>
    </w:p>
    <w:p>
      <w:pPr>
        <w:pStyle w:val="Compact"/>
        <w:numPr>
          <w:ilvl w:val="0"/>
          <w:numId w:val="1010"/>
        </w:numPr>
      </w:pPr>
      <w:r>
        <w:t xml:space="preserve">Western Gateway remains stuck in negotiations;</w:t>
      </w:r>
    </w:p>
    <w:p>
      <w:pPr>
        <w:pStyle w:val="Compact"/>
        <w:numPr>
          <w:ilvl w:val="0"/>
          <w:numId w:val="1010"/>
        </w:numPr>
      </w:pPr>
      <w:r>
        <w:t xml:space="preserve">Leverage is expected to return to 3.8x or higher despite the Q1 outperformance.</w:t>
      </w:r>
    </w:p>
    <w:p>
      <w:r>
        <w:pict>
          <v:rect style="width:0;height:1.5pt" o:hralign="center" o:hrstd="t" o:hr="t"/>
        </w:pict>
      </w:r>
    </w:p>
    <w:bookmarkEnd w:id="34"/>
    <w:bookmarkEnd w:id="35"/>
    <w:bookmarkStart w:id="36" w:name="bottom-line"/>
    <w:p>
      <w:pPr>
        <w:pStyle w:val="Heading2"/>
      </w:pPr>
      <w:r>
        <w:t xml:space="preserve">Bottom line</w:t>
      </w:r>
    </w:p>
    <w:p>
      <w:pPr>
        <w:pStyle w:val="FirstParagraph"/>
      </w:pPr>
      <w:r>
        <w:t xml:space="preserve">KMI’s Q2 numbers matter, but</w:t>
      </w:r>
      <w:r>
        <w:t xml:space="preserve"> </w:t>
      </w:r>
      <w:r>
        <w:rPr>
          <w:b/>
          <w:bCs/>
        </w:rPr>
        <w:t xml:space="preserve">guidance and backlog conversion matter more</w:t>
      </w:r>
      <w:r>
        <w:t xml:space="preserve">. The ideal report would demonstrate that Q1’s outperformance was not simply a combination of winter weather and one-time terminal payments—and that KMI can translate strong natural-gas demand into contracted projects at attractive returns.</w:t>
      </w:r>
    </w:p>
    <w:p>
      <w:pPr>
        <w:pStyle w:val="BodyText"/>
      </w:pPr>
      <w:r>
        <w:t xml:space="preserve">The three most important items are:</w:t>
      </w:r>
    </w:p>
    <w:p>
      <w:pPr>
        <w:pStyle w:val="Compact"/>
        <w:numPr>
          <w:ilvl w:val="0"/>
          <w:numId w:val="1011"/>
        </w:numPr>
      </w:pPr>
      <w:r>
        <w:rPr>
          <w:b/>
          <w:bCs/>
        </w:rPr>
        <w:t xml:space="preserve">How far above $8.6 billion management now expects 2026 adjusted EBITDA to land;</w:t>
      </w:r>
    </w:p>
    <w:p>
      <w:pPr>
        <w:pStyle w:val="Compact"/>
        <w:numPr>
          <w:ilvl w:val="0"/>
          <w:numId w:val="1011"/>
        </w:numPr>
      </w:pPr>
      <w:r>
        <w:rPr>
          <w:b/>
          <w:bCs/>
        </w:rPr>
        <w:t xml:space="preserve">Whether the $10.1 billion backlog grows while major projects remain on budget;</w:t>
      </w:r>
    </w:p>
    <w:p>
      <w:pPr>
        <w:pStyle w:val="Compact"/>
        <w:numPr>
          <w:ilvl w:val="0"/>
          <w:numId w:val="1011"/>
        </w:numPr>
      </w:pPr>
      <w:r>
        <w:rPr>
          <w:b/>
          <w:bCs/>
        </w:rPr>
        <w:t xml:space="preserve">Whether Western Gateway, Monument and the power/data-center opportunity set create visible incremental growth beyond 2026.</w:t>
      </w:r>
    </w:p>
    <w:p>
      <w:pPr>
        <w:pStyle w:val="FirstParagraph"/>
      </w:pPr>
      <w:r>
        <w:t xml:space="preserve">With the stock already up about 18% this year, an ordinary in-line quarter may not be enough. Investors are likely to reward a credible guidance raise and new project commitments more than a small EPS beat.</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kindermorgan.com/news/news-details/2026/Kinder-Morgan-Announces-Second-Quarter-26-Earnings-Webcast/default.aspx?utm_source=openai" TargetMode="External" /><Relationship Type="http://schemas.openxmlformats.org/officeDocument/2006/relationships/hyperlink" Id="rId12" Target="https://ir.kindermorgan.com/news/news-details/2026/Kinder-Morgan-Reports-First-Quarter-2026-Financial-Results/default.aspx?utm_source=openai" TargetMode="External" /><Relationship Type="http://schemas.openxmlformats.org/officeDocument/2006/relationships/hyperlink" Id="rId25" Target="https://ir.kindermorgan.com/news/news-details/2026/Phillips-66-and-Kinder-Morgan-Advance-Western-Gateway-Pipeline-Project-Following-Successful-Open-Season-2026-jnHolIuCAs/default.aspx?utm_source=openai" TargetMode="External" /><Relationship Type="http://schemas.openxmlformats.org/officeDocument/2006/relationships/hyperlink" Id="rId14" Target="https://s24.q4cdn.com/126708163/files/doc_presentations/2026/Apr/27/2Q-2026-KMI-Investor-Presentation_vF.pdf" TargetMode="External" /><Relationship Type="http://schemas.openxmlformats.org/officeDocument/2006/relationships/hyperlink" Id="rId19" Target="https://www.ferc.gov/south-system-expansion-4-pipeline-project?utm_source=openai" TargetMode="External" /><Relationship Type="http://schemas.openxmlformats.org/officeDocument/2006/relationships/hyperlink" Id="rId11" Target="https://www.zacks.com/stock/news/2957059/gear-up-for-kinder-morgan-kmi-q2-earnings-wall-street-estimates-for-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kindermorgan.com/news/news-details/2026/Kinder-Morgan-Announces-Second-Quarter-26-Earnings-Webcast/default.aspx?utm_source=openai" TargetMode="External" /><Relationship Type="http://schemas.openxmlformats.org/officeDocument/2006/relationships/hyperlink" Id="rId12" Target="https://ir.kindermorgan.com/news/news-details/2026/Kinder-Morgan-Reports-First-Quarter-2026-Financial-Results/default.aspx?utm_source=openai" TargetMode="External" /><Relationship Type="http://schemas.openxmlformats.org/officeDocument/2006/relationships/hyperlink" Id="rId25" Target="https://ir.kindermorgan.com/news/news-details/2026/Phillips-66-and-Kinder-Morgan-Advance-Western-Gateway-Pipeline-Project-Following-Successful-Open-Season-2026-jnHolIuCAs/default.aspx?utm_source=openai" TargetMode="External" /><Relationship Type="http://schemas.openxmlformats.org/officeDocument/2006/relationships/hyperlink" Id="rId14" Target="https://s24.q4cdn.com/126708163/files/doc_presentations/2026/Apr/27/2Q-2026-KMI-Investor-Presentation_vF.pdf" TargetMode="External" /><Relationship Type="http://schemas.openxmlformats.org/officeDocument/2006/relationships/hyperlink" Id="rId19" Target="https://www.ferc.gov/south-system-expansion-4-pipeline-project?utm_source=openai" TargetMode="External" /><Relationship Type="http://schemas.openxmlformats.org/officeDocument/2006/relationships/hyperlink" Id="rId11" Target="https://www.zacks.com/stock/news/2957059/gear-up-for-kinder-morgan-kmi-q2-earnings-wall-street-estimates-for-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2026-07-22T00:31:00Z</dcterms:created>
  <dcterms:modified xsi:type="dcterms:W3CDTF">2026-07-22T00:31:00Z</dcterms:modified>
</cp:coreProperties>
</file>

<file path=docProps/custom.xml><?xml version="1.0" encoding="utf-8"?>
<Properties xmlns="http://schemas.openxmlformats.org/officeDocument/2006/custom-properties" xmlns:vt="http://schemas.openxmlformats.org/officeDocument/2006/docPropsVTypes"/>
</file>