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i-earnings-predictions--2026-07-22"/>
    <w:p>
      <w:pPr>
        <w:pStyle w:val="Heading1"/>
      </w:pPr>
      <w:r>
        <w:t xml:space="preserve">KMI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~$0.31 vs. cons $0.30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Natural Gas Pipelines Adjusted Segment EBDA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~$1.49B vs. cons $1.46B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~$8.90B vs. cons $8.86B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~$1.41 vs. cons $1.40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net-debt / Adjusted EBITDA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~3.8x vs. cons 3.8x (FY26 year-end)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+2.6% (FOLLOW-THROUGH)</w:t>
            </w:r>
          </w:p>
        </w:tc>
        <w:tc>
          <w:tcPr/>
          <w:p>
            <w:pPr>
              <w:pStyle w:val="Compact"/>
            </w:pPr>
            <w:r>
              <w:t xml:space="preserve">~+1.8% day-1 residual and ~+2.6% 5-day residual: a modest EPS/EBITDA beat combined with FY26 EBITDA guidance of ~</w:t>
            </w:r>
            <m:oMath>
              <m:r>
                <m:t>8.90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8.86B consensus should lift FY26-FY27 estimates, while confirmation of Monument contribution and incremental contracted gas-project activity supports out-period EBITDA rather than leaving the beat solely weather-driven.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2026-07-22T00:29:10Z</dcterms:created>
  <dcterms:modified xsi:type="dcterms:W3CDTF">2026-07-22T00:29:10Z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