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02470a92a12e89af59748fe28ac4c3cbb441d1"/>
    <w:p>
      <w:pPr>
        <w:pStyle w:val="Heading1"/>
      </w:pPr>
      <w:r>
        <w:t xml:space="preserve">Kinder Morgan (NYSE: KMI) — 2Q26 Earnings Preview</w:t>
      </w:r>
    </w:p>
    <w:p>
      <w:pPr>
        <w:pStyle w:val="BlockText"/>
      </w:pPr>
      <w:r>
        <w:rPr>
          <w:b/>
          <w:bCs/>
        </w:rPr>
        <w:t xml:space="preserve">Timing note:</w:t>
      </w:r>
      <w:r>
        <w:t xml:space="preserve"> </w:t>
      </w:r>
      <w:r>
        <w:t xml:space="preserve">Today is</w:t>
      </w:r>
      <w:r>
        <w:t xml:space="preserve"> </w:t>
      </w:r>
      <w:r>
        <w:rPr>
          <w:b/>
          <w:bCs/>
        </w:rPr>
        <w:t xml:space="preserve">Wednesday, July 22, 2026</w:t>
      </w:r>
      <w:r>
        <w:t xml:space="preserve">. KMI’s 2026Q2 earnings call is therefore scheduled for</w:t>
      </w:r>
      <w:r>
        <w:t xml:space="preserve"> </w:t>
      </w:r>
      <w:r>
        <w:rPr>
          <w:b/>
          <w:bCs/>
        </w:rPr>
        <w:t xml:space="preserve">today</w:t>
      </w:r>
      <w:r>
        <w:t xml:space="preserve">, not tomorrow, based on the date provided.</w:t>
      </w:r>
    </w:p>
    <w:bookmarkStart w:id="9" w:name="X742b4048707a0cbce354b56c0d592d892618538"/>
    <w:p>
      <w:pPr>
        <w:pStyle w:val="Heading2"/>
      </w:pPr>
      <w:r>
        <w:t xml:space="preserve">Investment view: the debate is about how much of 1Q’s strength carries into the rest of 2026</w:t>
      </w:r>
    </w:p>
    <w:p>
      <w:pPr>
        <w:pStyle w:val="FirstParagraph"/>
      </w:pPr>
      <w:r>
        <w:t xml:space="preserve">KMI enters 2Q26 with strong operating and strategic momentum, but a high bar for the quality—not necessarily the absolute level—of results. In 1Q, the company exceeded its own plan across every operating segment and said it expected full-year Adjusted EBITDA to come in</w:t>
      </w:r>
      <w:r>
        <w:t xml:space="preserve"> </w:t>
      </w:r>
      <w:r>
        <w:rPr>
          <w:b/>
          <w:bCs/>
        </w:rPr>
        <w:t xml:space="preserve">more than 3% above</w:t>
      </w:r>
      <w:r>
        <w:t xml:space="preserve"> </w:t>
      </w:r>
      <w:r>
        <w:t xml:space="preserve">its original</w:t>
      </w:r>
      <w:r>
        <w:t xml:space="preserve"> </w:t>
      </w:r>
      <m:oMath>
        <m:r>
          <m:t>8.6</m:t>
        </m:r>
        <m:r>
          <m:t>b</m:t>
        </m:r>
        <m:r>
          <m:t>i</m:t>
        </m:r>
        <m:r>
          <m:t>l</m:t>
        </m:r>
        <m:r>
          <m:t>l</m:t>
        </m:r>
        <m:r>
          <m:t>i</m:t>
        </m:r>
        <m:r>
          <m:t>o</m:t>
        </m:r>
        <m:r>
          <m:t>n</m:t>
        </m:r>
        <m:r>
          <m:rPr>
            <m:sty m:val="p"/>
          </m:rPr>
          <m:t>*</m:t>
        </m:r>
        <m:r>
          <m:rPr>
            <m:sty m:val="p"/>
          </m:rPr>
          <m:t>*</m:t>
        </m:r>
        <m:r>
          <m:t>b</m:t>
        </m:r>
        <m:r>
          <m:t>u</m:t>
        </m:r>
        <m:r>
          <m:t>d</m:t>
        </m:r>
        <m:r>
          <m:t>g</m:t>
        </m:r>
        <m:r>
          <m:t>e</m:t>
        </m:r>
        <m:r>
          <m:t>t</m:t>
        </m:r>
        <m:r>
          <m:rPr>
            <m:sty m:val="p"/>
          </m:rPr>
          <m:t>,</m:t>
        </m:r>
        <m:r>
          <m:t>e</m:t>
        </m:r>
        <m:r>
          <m:t>x</m:t>
        </m:r>
        <m:r>
          <m:t>c</m:t>
        </m:r>
        <m:r>
          <m:t>l</m:t>
        </m:r>
        <m:r>
          <m:t>u</m:t>
        </m:r>
        <m:r>
          <m:t>d</m:t>
        </m:r>
        <m:r>
          <m:t>i</m:t>
        </m:r>
        <m:r>
          <m:t>n</m:t>
        </m:r>
        <m:r>
          <m:t>g</m:t>
        </m:r>
        <m:r>
          <m:t>a</m:t>
        </m:r>
        <m:r>
          <m:t>n</m:t>
        </m:r>
        <m:r>
          <m:t>y</m:t>
        </m:r>
        <m:r>
          <m:t>M</m:t>
        </m:r>
        <m:r>
          <m:t>o</m:t>
        </m:r>
        <m:r>
          <m:t>n</m:t>
        </m:r>
        <m:r>
          <m:t>u</m:t>
        </m:r>
        <m:r>
          <m:t>m</m:t>
        </m:r>
        <m:r>
          <m:t>e</m:t>
        </m:r>
        <m:r>
          <m:t>n</m:t>
        </m:r>
        <m:r>
          <m:t>t</m:t>
        </m:r>
        <m:r>
          <m:t>P</m:t>
        </m:r>
        <m:r>
          <m:t>i</m:t>
        </m:r>
        <m:r>
          <m:t>p</m:t>
        </m:r>
        <m:r>
          <m:t>e</m:t>
        </m:r>
        <m:r>
          <m:t>l</m:t>
        </m:r>
        <m:r>
          <m:t>i</m:t>
        </m:r>
        <m:r>
          <m:t>n</m:t>
        </m:r>
        <m:r>
          <m:t>e</m:t>
        </m:r>
        <m:r>
          <m:t>c</m:t>
        </m:r>
        <m:r>
          <m:t>o</m:t>
        </m:r>
        <m:r>
          <m:t>n</m:t>
        </m:r>
        <m:r>
          <m:t>t</m:t>
        </m:r>
        <m:r>
          <m:t>r</m:t>
        </m:r>
        <m:r>
          <m:t>i</m:t>
        </m:r>
        <m:r>
          <m:t>b</m:t>
        </m:r>
        <m:r>
          <m:t>u</m:t>
        </m:r>
        <m:r>
          <m:t>t</m:t>
        </m:r>
        <m:r>
          <m:t>i</m:t>
        </m:r>
        <m:r>
          <m:t>o</m:t>
        </m:r>
        <m:r>
          <m:t>n</m:t>
        </m:r>
        <m:r>
          <m:rPr>
            <m:sty m:val="p"/>
          </m:rPr>
          <m:t>.</m:t>
        </m:r>
        <m:r>
          <m:t>T</m:t>
        </m:r>
        <m:r>
          <m:t>h</m:t>
        </m:r>
        <m:r>
          <m:t>a</m:t>
        </m:r>
        <m:r>
          <m:t>t</m:t>
        </m:r>
        <m:r>
          <m:t>i</m:t>
        </m:r>
        <m:r>
          <m:t>m</m:t>
        </m:r>
        <m:r>
          <m:t>p</m:t>
        </m:r>
        <m:r>
          <m:t>l</m:t>
        </m:r>
        <m:r>
          <m:t>i</m:t>
        </m:r>
        <m:r>
          <m:t>e</m:t>
        </m:r>
        <m:r>
          <m:t>s</m:t>
        </m:r>
        <m:r>
          <m:t>m</m:t>
        </m:r>
        <m:r>
          <m:t>o</m:t>
        </m:r>
        <m:r>
          <m:t>r</m:t>
        </m:r>
        <m:r>
          <m:t>e</m:t>
        </m:r>
        <m:r>
          <m:t>t</m:t>
        </m:r>
        <m:r>
          <m:t>h</m:t>
        </m:r>
        <m:r>
          <m:t>a</m:t>
        </m:r>
        <m:r>
          <m:t>n</m:t>
        </m:r>
        <m:r>
          <m:t>r</m:t>
        </m:r>
        <m:r>
          <m:t>o</m:t>
        </m:r>
        <m:r>
          <m:t>u</m:t>
        </m:r>
        <m:r>
          <m:t>g</m:t>
        </m:r>
        <m:r>
          <m:t>h</m:t>
        </m:r>
        <m:r>
          <m:t>l</m:t>
        </m:r>
        <m:r>
          <m:t>y</m:t>
        </m:r>
        <m:r>
          <m:rPr>
            <m:sty m:val="p"/>
          </m:rPr>
          <m:t>*</m:t>
        </m:r>
        <m:r>
          <m:rPr>
            <m:sty m:val="p"/>
          </m:rPr>
          <m:t>*</m:t>
        </m:r>
      </m:oMath>
      <w:r>
        <w:rPr>
          <w:b/>
          <w:bCs/>
        </w:rPr>
        <w:t xml:space="preserve">250 million</w:t>
      </w:r>
      <w:r>
        <w:t xml:space="preserve"> </w:t>
      </w:r>
      <w:r>
        <w:t xml:space="preserve">of EBITDA upside versus budget.</w:t>
      </w:r>
    </w:p>
    <w:p>
      <w:pPr>
        <w:pStyle w:val="BodyText"/>
      </w:pPr>
      <w:r>
        <w:t xml:space="preserve">The key question for investors is whether 2Q confirms that the upside is increasingly</w:t>
      </w:r>
      <w:r>
        <w:t xml:space="preserve"> </w:t>
      </w:r>
      <w:r>
        <w:rPr>
          <w:b/>
          <w:bCs/>
        </w:rPr>
        <w:t xml:space="preserve">structural</w:t>
      </w:r>
      <w:r>
        <w:t xml:space="preserve">—capacity sales, gas gathering growth, LNG and power demand, favorable terminal pricing, and projects entering service—or whether most of the 1Q beat was transient, driven by unusually cold weather, commodity volatility, and a terminal-contract termination payment.</w:t>
      </w:r>
    </w:p>
    <w:p>
      <w:pPr>
        <w:pStyle w:val="BodyText"/>
      </w:pPr>
      <w:r>
        <w:t xml:space="preserve">My read:</w:t>
      </w:r>
      <w:r>
        <w:t xml:space="preserve"> </w:t>
      </w:r>
      <w:r>
        <w:rPr>
          <w:b/>
          <w:bCs/>
        </w:rPr>
        <w:t xml:space="preserve">the setup remains constructive, but the call matters more than the headline EPS print.</w:t>
      </w:r>
      <w:r>
        <w:t xml:space="preserve"> </w:t>
      </w:r>
      <w:r>
        <w:t xml:space="preserve">Investors should focus on the durability of gas-pipeline outperformance, progress on the project backlog and permits, the Monument acquisition close/contribution, and whether management formalizes a larger uplift to 2026 guidance.</w:t>
      </w:r>
    </w:p>
    <w:p>
      <w:r>
        <w:pict>
          <v:rect style="width:0;height:1.5pt" o:hralign="center" o:hrstd="t" o:hr="t"/>
        </w:pict>
      </w:r>
    </w:p>
    <w:bookmarkEnd w:id="9"/>
    <w:bookmarkStart w:id="15" w:name="what-matters-most-this-quarter"/>
    <w:p>
      <w:pPr>
        <w:pStyle w:val="Heading2"/>
      </w:pPr>
      <w:r>
        <w:t xml:space="preserve">What matters most this quarter</w:t>
      </w:r>
    </w:p>
    <w:bookmarkStart w:id="10" w:name="X097c8a4e4ab7a4e72ae6ea2b250e3e40873c340"/>
    <w:p>
      <w:pPr>
        <w:pStyle w:val="Heading3"/>
      </w:pPr>
      <w:r>
        <w:t xml:space="preserve">1. Full-year guidance and the composition of the 1Q beat</w:t>
      </w:r>
    </w:p>
    <w:p>
      <w:pPr>
        <w:pStyle w:val="FirstParagraph"/>
      </w:pPr>
      <w:r>
        <w:t xml:space="preserve">KMI’s 1Q26 Adjusted EBITDA was</w:t>
      </w:r>
      <w:r>
        <w:t xml:space="preserve"> </w:t>
      </w:r>
      <m:oMath>
        <m:r>
          <m:t>2.539</m:t>
        </m:r>
        <m:r>
          <m:t>b</m:t>
        </m:r>
        <m:r>
          <m:t>i</m:t>
        </m:r>
        <m:r>
          <m:t>l</m:t>
        </m:r>
        <m:r>
          <m:t>l</m:t>
        </m:r>
        <m:r>
          <m:t>i</m:t>
        </m:r>
        <m:r>
          <m:t>o</m:t>
        </m:r>
        <m:r>
          <m:t>n</m:t>
        </m:r>
        <m:r>
          <m:rPr>
            <m:sty m:val="p"/>
          </m:rPr>
          <m:t>*</m:t>
        </m:r>
        <m:r>
          <m:rPr>
            <m:sty m:val="p"/>
          </m:rPr>
          <m:t>*</m:t>
        </m:r>
        <m:r>
          <m:rPr>
            <m:sty m:val="p"/>
          </m:rPr>
          <m:t>,</m:t>
        </m:r>
        <m:r>
          <m:t>u</m:t>
        </m:r>
        <m:r>
          <m:t>p</m:t>
        </m:r>
        <m:r>
          <m:rPr>
            <m:sty m:val="p"/>
          </m:rPr>
          <m:t>*</m:t>
        </m:r>
        <m:r>
          <m:rPr>
            <m:sty m:val="p"/>
          </m:rPr>
          <m:t>*</m:t>
        </m:r>
        <m:r>
          <m:t>18</m:t>
        </m:r>
      </m:oMath>
      <w:r>
        <w:rPr>
          <w:b/>
          <w:bCs/>
        </w:rPr>
        <w:t xml:space="preserve">0.48</w:t>
      </w:r>
      <w:r>
        <w:t xml:space="preserve">. Management characterized the quarter as unusually strong and said it expected to outperform its 2026 EBITDA plan by more than 3%.</w:t>
      </w:r>
    </w:p>
    <w:p>
      <w:pPr>
        <w:pStyle w:val="BodyText"/>
      </w:pPr>
      <w:r>
        <w:t xml:space="preserve">However, management also identified several factors that were not fully recurring:</w:t>
      </w:r>
    </w:p>
    <w:p>
      <w:pPr>
        <w:pStyle w:val="Compact"/>
        <w:numPr>
          <w:ilvl w:val="0"/>
          <w:numId w:val="1001"/>
        </w:numPr>
      </w:pPr>
      <w:r>
        <w:t xml:space="preserve">Winter Storm Fern and extended cold weather elevated natural-gas demand and the value of transport/storage services.</w:t>
      </w:r>
    </w:p>
    <w:p>
      <w:pPr>
        <w:pStyle w:val="Compact"/>
        <w:numPr>
          <w:ilvl w:val="0"/>
          <w:numId w:val="1001"/>
        </w:numPr>
      </w:pPr>
      <w:r>
        <w:t xml:space="preserve">A portion of Terminal earnings reflected recognition of payments associated with early termination of storage contracts.</w:t>
      </w:r>
    </w:p>
    <w:p>
      <w:pPr>
        <w:pStyle w:val="Compact"/>
        <w:numPr>
          <w:ilvl w:val="0"/>
          <w:numId w:val="1001"/>
        </w:numPr>
      </w:pPr>
      <w:r>
        <w:t xml:space="preserve">Commodity pricing and volatility benefited certain activities around the margin.</w:t>
      </w:r>
    </w:p>
    <w:p>
      <w:pPr>
        <w:pStyle w:val="FirstParagraph"/>
      </w:pPr>
      <w:r>
        <w:t xml:space="preserve">That does</w:t>
      </w:r>
      <w:r>
        <w:t xml:space="preserve"> </w:t>
      </w:r>
      <w:r>
        <w:rPr>
          <w:b/>
          <w:bCs/>
        </w:rPr>
        <w:t xml:space="preserve">not</w:t>
      </w:r>
      <w:r>
        <w:t xml:space="preserve"> </w:t>
      </w:r>
      <w:r>
        <w:t xml:space="preserve">negate the result. The more important positive is that management said every segment outperformed budget, and it pointed to continued gas-market tightness, growth projects, capacity sales, gathering volumes, and higher asset utilization as ongoing contributors.</w:t>
      </w:r>
    </w:p>
    <w:p>
      <w:pPr>
        <w:pStyle w:val="BodyText"/>
      </w:pPr>
      <w:r>
        <w:rPr>
          <w:b/>
          <w:bCs/>
        </w:rPr>
        <w:t xml:space="preserve">Watch for:</w:t>
      </w:r>
    </w:p>
    <w:p>
      <w:pPr>
        <w:pStyle w:val="Compact"/>
        <w:numPr>
          <w:ilvl w:val="0"/>
          <w:numId w:val="1002"/>
        </w:numPr>
      </w:pPr>
      <w:r>
        <w:t xml:space="preserve">Whether KMI maintains “more than 3% above budget,” raises that expectation, or provides a more quantitative full-year EBITDA/EPS outlook.</w:t>
      </w:r>
    </w:p>
    <w:p>
      <w:pPr>
        <w:pStyle w:val="Compact"/>
        <w:numPr>
          <w:ilvl w:val="0"/>
          <w:numId w:val="1002"/>
        </w:numPr>
      </w:pPr>
      <w:r>
        <w:t xml:space="preserve">A clear split between weather/one-time gains and recurring base-business improvement.</w:t>
      </w:r>
    </w:p>
    <w:p>
      <w:pPr>
        <w:pStyle w:val="Compact"/>
        <w:numPr>
          <w:ilvl w:val="0"/>
          <w:numId w:val="1002"/>
        </w:numPr>
      </w:pPr>
      <w:r>
        <w:t xml:space="preserve">Any change to the year-end leverage expectation of roughly</w:t>
      </w:r>
      <w:r>
        <w:t xml:space="preserve"> </w:t>
      </w:r>
      <w:r>
        <w:rPr>
          <w:b/>
          <w:bCs/>
        </w:rPr>
        <w:t xml:space="preserve">3.7x net debt/Adjusted EBITDA</w:t>
      </w:r>
      <w:r>
        <w:t xml:space="preserve">.</w:t>
      </w:r>
    </w:p>
    <w:p>
      <w:r>
        <w:pict>
          <v:rect style="width:0;height:1.5pt" o:hralign="center" o:hrstd="t" o:hr="t"/>
        </w:pict>
      </w:r>
    </w:p>
    <w:bookmarkEnd w:id="10"/>
    <w:bookmarkStart w:id="11" w:name="X954e1257c4ea69db5d69dfc39c10c8a11ce44f0"/>
    <w:p>
      <w:pPr>
        <w:pStyle w:val="Heading3"/>
      </w:pPr>
      <w:r>
        <w:t xml:space="preserve">2. Natural Gas Pipelines: the central earnings driver</w:t>
      </w:r>
    </w:p>
    <w:p>
      <w:pPr>
        <w:pStyle w:val="FirstParagraph"/>
      </w:pPr>
      <w:r>
        <w:t xml:space="preserve">Natural Gas Pipelines is the central reason to own KMI going into this report. In 1Q, adjusted segment EBDA rose</w:t>
      </w:r>
      <w:r>
        <w:t xml:space="preserve"> </w:t>
      </w:r>
      <w:r>
        <w:rPr>
          <w:b/>
          <w:bCs/>
        </w:rPr>
        <w:t xml:space="preserve">17%</w:t>
      </w:r>
      <w:r>
        <w:t xml:space="preserve"> </w:t>
      </w:r>
      <w:r>
        <w:t xml:space="preserve">year over year to</w:t>
      </w:r>
      <w:r>
        <w:t xml:space="preserve"> </w:t>
      </w:r>
      <w:r>
        <w:rPr>
          <w:b/>
          <w:bCs/>
        </w:rPr>
        <w:t xml:space="preserve">$1.797 billion</w:t>
      </w:r>
      <w:r>
        <w:t xml:space="preserve">. Transport volumes increased</w:t>
      </w:r>
      <w:r>
        <w:t xml:space="preserve"> </w:t>
      </w:r>
      <w:r>
        <w:rPr>
          <w:b/>
          <w:bCs/>
        </w:rPr>
        <w:t xml:space="preserve">8%</w:t>
      </w:r>
      <w:r>
        <w:t xml:space="preserve">, and gathering volumes rose</w:t>
      </w:r>
      <w:r>
        <w:t xml:space="preserve"> </w:t>
      </w:r>
      <w:r>
        <w:rPr>
          <w:b/>
          <w:bCs/>
        </w:rPr>
        <w:t xml:space="preserve">15%</w:t>
      </w:r>
      <w:r>
        <w:t xml:space="preserve">, with LNG deliveries on Tennessee Gas Pipeline and growth at KinderHawk/Haynesville among the important contributors.</w:t>
      </w:r>
    </w:p>
    <w:p>
      <w:pPr>
        <w:pStyle w:val="BodyText"/>
      </w:pPr>
      <w:r>
        <w:t xml:space="preserve">The fundamental backdrop remains favorable:</w:t>
      </w:r>
    </w:p>
    <w:p>
      <w:pPr>
        <w:pStyle w:val="Compact"/>
        <w:numPr>
          <w:ilvl w:val="0"/>
          <w:numId w:val="1003"/>
        </w:numPr>
      </w:pPr>
      <w:r>
        <w:t xml:space="preserve">KMI’s five major gas-pipeline systems were operating at approximately</w:t>
      </w:r>
      <w:r>
        <w:t xml:space="preserve"> </w:t>
      </w:r>
      <w:r>
        <w:rPr>
          <w:b/>
          <w:bCs/>
        </w:rPr>
        <w:t xml:space="preserve">90% utilization</w:t>
      </w:r>
      <w:r>
        <w:t xml:space="preserve"> </w:t>
      </w:r>
      <w:r>
        <w:t xml:space="preserve">in 2025.</w:t>
      </w:r>
    </w:p>
    <w:p>
      <w:pPr>
        <w:pStyle w:val="Compact"/>
        <w:numPr>
          <w:ilvl w:val="0"/>
          <w:numId w:val="1003"/>
        </w:numPr>
      </w:pPr>
      <w:r>
        <w:t xml:space="preserve">The company sees significant opportunities related to gas-fired power demand and LNG exports.</w:t>
      </w:r>
    </w:p>
    <w:p>
      <w:pPr>
        <w:pStyle w:val="Compact"/>
        <w:numPr>
          <w:ilvl w:val="0"/>
          <w:numId w:val="1003"/>
        </w:numPr>
      </w:pPr>
      <w:r>
        <w:t xml:space="preserve">Roughly</w:t>
      </w:r>
      <w:r>
        <w:t xml:space="preserve"> </w:t>
      </w:r>
      <w:r>
        <w:rPr>
          <w:b/>
          <w:bCs/>
        </w:rPr>
        <w:t xml:space="preserve">92%</w:t>
      </w:r>
      <w:r>
        <w:t xml:space="preserve"> </w:t>
      </w:r>
      <w:r>
        <w:t xml:space="preserve">of the $10.1 billion 1Q project backlog was tied to natural gas.</w:t>
      </w:r>
    </w:p>
    <w:p>
      <w:pPr>
        <w:pStyle w:val="Compact"/>
        <w:numPr>
          <w:ilvl w:val="0"/>
          <w:numId w:val="1003"/>
        </w:numPr>
      </w:pPr>
      <w:r>
        <w:t xml:space="preserve">Nearly</w:t>
      </w:r>
      <w:r>
        <w:t xml:space="preserve"> </w:t>
      </w:r>
      <w:r>
        <w:rPr>
          <w:b/>
          <w:bCs/>
        </w:rPr>
        <w:t xml:space="preserve">60%</w:t>
      </w:r>
      <w:r>
        <w:t xml:space="preserve"> </w:t>
      </w:r>
      <w:r>
        <w:t xml:space="preserve">of backlog was associated with power-generation and local-distribution-company demand.</w:t>
      </w:r>
    </w:p>
    <w:p>
      <w:pPr>
        <w:pStyle w:val="FirstParagraph"/>
      </w:pPr>
      <w:r>
        <w:t xml:space="preserve">The near-term issue is whether 2Q demonstrates a normalizing but still healthy run-rate after the winter-driven first quarter. A solid result would show continued growth in firm capacity revenue, gathering, LNG-related volumes, and expansion-project contributions even as seasonal weather benefits fade.</w:t>
      </w:r>
    </w:p>
    <w:p>
      <w:pPr>
        <w:pStyle w:val="BodyText"/>
      </w:pPr>
      <w:r>
        <w:rPr>
          <w:b/>
          <w:bCs/>
        </w:rPr>
        <w:t xml:space="preserve">Watch for:</w:t>
      </w:r>
    </w:p>
    <w:p>
      <w:pPr>
        <w:pStyle w:val="Compact"/>
        <w:numPr>
          <w:ilvl w:val="0"/>
          <w:numId w:val="1004"/>
        </w:numPr>
      </w:pPr>
      <w:r>
        <w:t xml:space="preserve">Natural-gas transportation and gathering-volume growth.</w:t>
      </w:r>
    </w:p>
    <w:p>
      <w:pPr>
        <w:pStyle w:val="Compact"/>
        <w:numPr>
          <w:ilvl w:val="0"/>
          <w:numId w:val="1004"/>
        </w:numPr>
      </w:pPr>
      <w:r>
        <w:t xml:space="preserve">Updates on KinderHawk expansion timing and utilization.</w:t>
      </w:r>
    </w:p>
    <w:p>
      <w:pPr>
        <w:pStyle w:val="Compact"/>
        <w:numPr>
          <w:ilvl w:val="0"/>
          <w:numId w:val="1004"/>
        </w:numPr>
      </w:pPr>
      <w:r>
        <w:t xml:space="preserve">Evidence that power-related project opportunities are converting from the “shadow backlog” into sanctioned capital projects.</w:t>
      </w:r>
    </w:p>
    <w:p>
      <w:pPr>
        <w:pStyle w:val="Compact"/>
        <w:numPr>
          <w:ilvl w:val="0"/>
          <w:numId w:val="1004"/>
        </w:numPr>
      </w:pPr>
      <w:r>
        <w:t xml:space="preserve">Incremental LNG feedgas commitments or capacity expansions.</w:t>
      </w:r>
    </w:p>
    <w:p>
      <w:pPr>
        <w:pStyle w:val="Compact"/>
        <w:numPr>
          <w:ilvl w:val="0"/>
          <w:numId w:val="1004"/>
        </w:numPr>
      </w:pPr>
      <w:r>
        <w:t xml:space="preserve">Commentary on gas-storage demand, a differentiator for KMI given its more than</w:t>
      </w:r>
      <w:r>
        <w:t xml:space="preserve"> </w:t>
      </w:r>
      <w:r>
        <w:rPr>
          <w:b/>
          <w:bCs/>
        </w:rPr>
        <w:t xml:space="preserve">700 Bcf</w:t>
      </w:r>
      <w:r>
        <w:t xml:space="preserve"> </w:t>
      </w:r>
      <w:r>
        <w:t xml:space="preserve">of working gas-storage capacity.</w:t>
      </w:r>
    </w:p>
    <w:p>
      <w:r>
        <w:pict>
          <v:rect style="width:0;height:1.5pt" o:hralign="center" o:hrstd="t" o:hr="t"/>
        </w:pict>
      </w:r>
    </w:p>
    <w:bookmarkEnd w:id="11"/>
    <w:bookmarkStart w:id="12" w:name="X88fc9c38513899f83289edf2cb7b166c25bee26"/>
    <w:p>
      <w:pPr>
        <w:pStyle w:val="Heading3"/>
      </w:pPr>
      <w:r>
        <w:t xml:space="preserve">3. Capital-project execution and permitting are the biggest medium-term value drivers</w:t>
      </w:r>
    </w:p>
    <w:p>
      <w:pPr>
        <w:pStyle w:val="FirstParagraph"/>
      </w:pPr>
      <w:r>
        <w:t xml:space="preserve">At the end of 1Q, KMI’s backlog stood at</w:t>
      </w:r>
      <w:r>
        <w:t xml:space="preserve"> </w:t>
      </w:r>
      <w:r>
        <w:rPr>
          <w:b/>
          <w:bCs/>
        </w:rPr>
        <w:t xml:space="preserve">$10.1 billion</w:t>
      </w:r>
      <w:r>
        <w:t xml:space="preserve">, up modestly sequentially after adding $375 million of projects and placing $230 million in service. The remaining backlog was expected to generate an aggregate first-full-year Project EBITDA multiple of approximately</w:t>
      </w:r>
      <w:r>
        <w:t xml:space="preserve"> </w:t>
      </w:r>
      <w:r>
        <w:rPr>
          <w:b/>
          <w:bCs/>
        </w:rPr>
        <w:t xml:space="preserve">5.6x</w:t>
      </w:r>
      <w:r>
        <w:t xml:space="preserve">, an attractive return profile if execution and permitting remain on track.</w:t>
      </w:r>
    </w:p>
    <w:p>
      <w:pPr>
        <w:pStyle w:val="BodyText"/>
      </w:pPr>
      <w:r>
        <w:t xml:space="preserve">The largest projects to monitor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Project</w:t>
            </w:r>
          </w:p>
        </w:tc>
        <w:tc>
          <w:tcPr/>
          <w:p>
            <w:pPr>
              <w:pStyle w:val="Compact"/>
            </w:pPr>
            <w:r>
              <w:t xml:space="preserve">Key investor issue going into 2Q</w:t>
            </w:r>
          </w:p>
        </w:tc>
      </w:tr>
      <w:tr>
        <w:tc>
          <w:tcPr/>
          <w:p>
            <w:pPr>
              <w:pStyle w:val="Compact"/>
            </w:pPr>
            <w:r>
              <w:rPr>
                <w:b/>
                <w:bCs/>
              </w:rPr>
              <w:t xml:space="preserve">Trident Intrastate Pipeline</w:t>
            </w:r>
          </w:p>
        </w:tc>
        <w:tc>
          <w:tcPr/>
          <w:p>
            <w:pPr>
              <w:pStyle w:val="Compact"/>
            </w:pPr>
            <w:r>
              <w:t xml:space="preserve">Construction progress, capital discipline, and timing toward first-phase service in 1Q27</w:t>
            </w:r>
          </w:p>
        </w:tc>
      </w:tr>
      <w:tr>
        <w:tc>
          <w:tcPr/>
          <w:p>
            <w:pPr>
              <w:pStyle w:val="Compact"/>
            </w:pPr>
            <w:r>
              <w:rPr>
                <w:b/>
                <w:bCs/>
              </w:rPr>
              <w:t xml:space="preserve">SSE4</w:t>
            </w:r>
          </w:p>
        </w:tc>
        <w:tc>
          <w:tcPr/>
          <w:p>
            <w:pPr>
              <w:pStyle w:val="Compact"/>
            </w:pPr>
            <w:r>
              <w:t xml:space="preserve">Whether KMI receives the anticipated July 2026 FERC certificate and keeps the 2028/2029 in-service framework intact</w:t>
            </w:r>
          </w:p>
        </w:tc>
      </w:tr>
      <w:tr>
        <w:tc>
          <w:tcPr/>
          <w:p>
            <w:pPr>
              <w:pStyle w:val="Compact"/>
            </w:pPr>
            <w:r>
              <w:rPr>
                <w:b/>
                <w:bCs/>
              </w:rPr>
              <w:t xml:space="preserve">Mississippi Crossing (MSX)</w:t>
            </w:r>
          </w:p>
        </w:tc>
        <w:tc>
          <w:tcPr/>
          <w:p>
            <w:pPr>
              <w:pStyle w:val="Compact"/>
            </w:pPr>
            <w:r>
              <w:t xml:space="preserve">Same permitting catalyst: expected FERC action and schedule confidence</w:t>
            </w:r>
          </w:p>
        </w:tc>
      </w:tr>
      <w:tr>
        <w:tc>
          <w:tcPr/>
          <w:p>
            <w:pPr>
              <w:pStyle w:val="Compact"/>
            </w:pPr>
            <w:r>
              <w:rPr>
                <w:b/>
                <w:bCs/>
              </w:rPr>
              <w:t xml:space="preserve">Western Gateway</w:t>
            </w:r>
          </w:p>
        </w:tc>
        <w:tc>
          <w:tcPr/>
          <w:p>
            <w:pPr>
              <w:pStyle w:val="Compact"/>
            </w:pPr>
            <w:r>
              <w:t xml:space="preserve">Whether definitive shipper/JV agreements advance toward FID; it was not yet in backlog at 1Q</w:t>
            </w:r>
          </w:p>
        </w:tc>
      </w:tr>
      <w:tr>
        <w:tc>
          <w:tcPr/>
          <w:p>
            <w:pPr>
              <w:pStyle w:val="Compact"/>
            </w:pPr>
            <w:r>
              <w:rPr>
                <w:b/>
                <w:bCs/>
              </w:rPr>
              <w:t xml:space="preserve">Florida Gas Transmission projects</w:t>
            </w:r>
          </w:p>
        </w:tc>
        <w:tc>
          <w:tcPr/>
          <w:p>
            <w:pPr>
              <w:pStyle w:val="Compact"/>
            </w:pPr>
            <w:r>
              <w:t xml:space="preserve">Commercial conversion following successful open seasons</w:t>
            </w:r>
          </w:p>
        </w:tc>
      </w:tr>
      <w:tr>
        <w:tc>
          <w:tcPr/>
          <w:p>
            <w:pPr>
              <w:pStyle w:val="Compact"/>
            </w:pPr>
            <w:r>
              <w:rPr>
                <w:b/>
                <w:bCs/>
              </w:rPr>
              <w:t xml:space="preserve">Creekside / LAHA / Amarillo expansions</w:t>
            </w:r>
          </w:p>
        </w:tc>
        <w:tc>
          <w:tcPr/>
          <w:p>
            <w:pPr>
              <w:pStyle w:val="Compact"/>
            </w:pPr>
            <w:r>
              <w:t xml:space="preserve">Incremental proof that data-center, industrial, and power demand is becoming contracted investment</w:t>
            </w:r>
          </w:p>
        </w:tc>
      </w:tr>
    </w:tbl>
    <w:p>
      <w:pPr>
        <w:pStyle w:val="BodyText"/>
      </w:pPr>
      <w:r>
        <w:t xml:space="preserve">The key positive surprise would be a meaningful backlog increase, especially from power-generation projects. The key negative surprise would be permitting delays, project-cost inflation, or a less confident schedule for Trident, SSE4, or MSX.</w:t>
      </w:r>
    </w:p>
    <w:p>
      <w:r>
        <w:pict>
          <v:rect style="width:0;height:1.5pt" o:hralign="center" o:hrstd="t" o:hr="t"/>
        </w:pict>
      </w:r>
    </w:p>
    <w:bookmarkEnd w:id="12"/>
    <w:bookmarkStart w:id="13" w:name="X69d3ca181e6eb0413e9b172a9c939adf9ec539b"/>
    <w:p>
      <w:pPr>
        <w:pStyle w:val="Heading3"/>
      </w:pPr>
      <w:r>
        <w:t xml:space="preserve">4. Monument acquisition: confirmation of closing and early economics</w:t>
      </w:r>
    </w:p>
    <w:p>
      <w:pPr>
        <w:pStyle w:val="FirstParagraph"/>
      </w:pPr>
      <w:r>
        <w:t xml:space="preserve">KMI announced the</w:t>
      </w:r>
      <w:r>
        <w:t xml:space="preserve"> </w:t>
      </w:r>
      <w:r>
        <w:rPr>
          <w:b/>
          <w:bCs/>
        </w:rPr>
        <w:t xml:space="preserve">$505 million</w:t>
      </w:r>
      <w:r>
        <w:t xml:space="preserve"> </w:t>
      </w:r>
      <w:r>
        <w:t xml:space="preserve">acquisition of Monument Pipeline in April. The asset serves the Houston area with about 225 miles of pipeline and transportation/storage services for utilities, LNG shippers, and industrial customers. It is supported by long-term take-or-pay contracts, with an approximately nine-year revenue-weighted average remaining contract term.</w:t>
      </w:r>
    </w:p>
    <w:p>
      <w:pPr>
        <w:pStyle w:val="BodyText"/>
      </w:pPr>
      <w:r>
        <w:t xml:space="preserve">Management expected the deal to close in 2Q and said it would be additive to full-year outperformance, although its initial 2026 outlook excluded Monument’s contribution.</w:t>
      </w:r>
    </w:p>
    <w:p>
      <w:pPr>
        <w:pStyle w:val="BodyText"/>
      </w:pPr>
      <w:r>
        <w:rPr>
          <w:b/>
          <w:bCs/>
        </w:rPr>
        <w:t xml:space="preserve">Watch for:</w:t>
      </w:r>
    </w:p>
    <w:p>
      <w:pPr>
        <w:pStyle w:val="Compact"/>
        <w:numPr>
          <w:ilvl w:val="0"/>
          <w:numId w:val="1005"/>
        </w:numPr>
      </w:pPr>
      <w:r>
        <w:t xml:space="preserve">Confirmation that the transaction closed.</w:t>
      </w:r>
    </w:p>
    <w:p>
      <w:pPr>
        <w:pStyle w:val="Compact"/>
        <w:numPr>
          <w:ilvl w:val="0"/>
          <w:numId w:val="1005"/>
        </w:numPr>
      </w:pPr>
      <w:r>
        <w:t xml:space="preserve">Initial EBITDA contribution and any integration costs.</w:t>
      </w:r>
    </w:p>
    <w:p>
      <w:pPr>
        <w:pStyle w:val="Compact"/>
        <w:numPr>
          <w:ilvl w:val="0"/>
          <w:numId w:val="1005"/>
        </w:numPr>
      </w:pPr>
      <w:r>
        <w:t xml:space="preserve">Updates on storage and system-connectivity synergies.</w:t>
      </w:r>
    </w:p>
    <w:p>
      <w:pPr>
        <w:pStyle w:val="Compact"/>
        <w:numPr>
          <w:ilvl w:val="0"/>
          <w:numId w:val="1005"/>
        </w:numPr>
      </w:pPr>
      <w:r>
        <w:t xml:space="preserve">Details on growth capital that could bring the acquisition’s multiple below the initially cited high-single-digit level over time.</w:t>
      </w:r>
    </w:p>
    <w:p>
      <w:pPr>
        <w:pStyle w:val="FirstParagraph"/>
      </w:pPr>
      <w:r>
        <w:t xml:space="preserve">The acquisition is strategically sensible: it reinforces KMI’s Houston/Texas intrastate gas platform, where LNG, industrial demand, local distribution, and power generation are all growing.</w:t>
      </w:r>
    </w:p>
    <w:p>
      <w:r>
        <w:pict>
          <v:rect style="width:0;height:1.5pt" o:hralign="center" o:hrstd="t" o:hr="t"/>
        </w:pict>
      </w:r>
    </w:p>
    <w:bookmarkEnd w:id="13"/>
    <w:bookmarkStart w:id="14" w:name="X2ef362dcfb053ce5dc39aef0a3919b1bce94115"/>
    <w:p>
      <w:pPr>
        <w:pStyle w:val="Heading3"/>
      </w:pPr>
      <w:r>
        <w:t xml:space="preserve">5. Terminals should normalize—but the underlying commercial backdrop is favorable</w:t>
      </w:r>
    </w:p>
    <w:p>
      <w:pPr>
        <w:pStyle w:val="FirstParagraph"/>
      </w:pPr>
      <w:r>
        <w:t xml:space="preserve">Terminals delivered a very strong 1Q, with adjusted segment EBDA up</w:t>
      </w:r>
      <w:r>
        <w:t xml:space="preserve"> </w:t>
      </w:r>
      <w:r>
        <w:rPr>
          <w:b/>
          <w:bCs/>
        </w:rPr>
        <w:t xml:space="preserve">20%</w:t>
      </w:r>
      <w:r>
        <w:t xml:space="preserve"> </w:t>
      </w:r>
      <w:r>
        <w:t xml:space="preserve">year over year to</w:t>
      </w:r>
      <w:r>
        <w:t xml:space="preserve"> </w:t>
      </w:r>
      <w:r>
        <w:rPr>
          <w:b/>
          <w:bCs/>
        </w:rPr>
        <w:t xml:space="preserve">$330 million</w:t>
      </w:r>
      <w:r>
        <w:t xml:space="preserve">. But investors should expect a less dramatic growth rate in 2Q because 1Q benefited from payments tied to early termination of certain storage agreements.</w:t>
      </w:r>
    </w:p>
    <w:p>
      <w:pPr>
        <w:pStyle w:val="BodyText"/>
      </w:pPr>
      <w:r>
        <w:t xml:space="preserve">The more durable positives are still meaningful:</w:t>
      </w:r>
    </w:p>
    <w:p>
      <w:pPr>
        <w:pStyle w:val="Compact"/>
        <w:numPr>
          <w:ilvl w:val="0"/>
          <w:numId w:val="1006"/>
        </w:numPr>
      </w:pPr>
      <w:r>
        <w:t xml:space="preserve">Liquids utilization was</w:t>
      </w:r>
      <w:r>
        <w:t xml:space="preserve"> </w:t>
      </w:r>
      <w:r>
        <w:rPr>
          <w:b/>
          <w:bCs/>
        </w:rPr>
        <w:t xml:space="preserve">93.5%</w:t>
      </w:r>
      <w:r>
        <w:t xml:space="preserve"> </w:t>
      </w:r>
      <w:r>
        <w:t xml:space="preserve">at quarter-end, and management indicated utilization was near</w:t>
      </w:r>
      <w:r>
        <w:t xml:space="preserve"> </w:t>
      </w:r>
      <w:r>
        <w:rPr>
          <w:b/>
          <w:bCs/>
        </w:rPr>
        <w:t xml:space="preserve">99%</w:t>
      </w:r>
      <w:r>
        <w:t xml:space="preserve"> </w:t>
      </w:r>
      <w:r>
        <w:t xml:space="preserve">in key Houston Ship Channel and Carteret hubs.</w:t>
      </w:r>
    </w:p>
    <w:p>
      <w:pPr>
        <w:pStyle w:val="Compact"/>
        <w:numPr>
          <w:ilvl w:val="0"/>
          <w:numId w:val="1006"/>
        </w:numPr>
      </w:pPr>
      <w:r>
        <w:t xml:space="preserve">Houston Ship Channel rate and ancillary-revenue conditions were strong.</w:t>
      </w:r>
    </w:p>
    <w:p>
      <w:pPr>
        <w:pStyle w:val="Compact"/>
        <w:numPr>
          <w:ilvl w:val="0"/>
          <w:numId w:val="1006"/>
        </w:numPr>
      </w:pPr>
      <w:r>
        <w:t xml:space="preserve">KMI’s Jones Act tanker fleet was effectively fully contracted through 2026, with high coverage extending into 2027 and 2028.</w:t>
      </w:r>
    </w:p>
    <w:p>
      <w:pPr>
        <w:pStyle w:val="Compact"/>
        <w:numPr>
          <w:ilvl w:val="0"/>
          <w:numId w:val="1006"/>
        </w:numPr>
      </w:pPr>
      <w:r>
        <w:t xml:space="preserve">Recontracting/backfill projects following the terminal contract terminations appear designed to largely offset lost earnings over time.</w:t>
      </w:r>
    </w:p>
    <w:p>
      <w:pPr>
        <w:pStyle w:val="FirstParagraph"/>
      </w:pPr>
      <w:r>
        <w:rPr>
          <w:b/>
          <w:bCs/>
        </w:rPr>
        <w:t xml:space="preserve">Watch for:</w:t>
      </w:r>
      <w:r>
        <w:t xml:space="preserve"> </w:t>
      </w:r>
      <w:r>
        <w:t xml:space="preserve">recurring terminal rates, utilization, bulk-terminal volumes, vessel-contract coverage, and whether the backfill opportunities remain on schedule.</w:t>
      </w:r>
    </w:p>
    <w:p>
      <w:r>
        <w:pict>
          <v:rect style="width:0;height:1.5pt" o:hralign="center" o:hrstd="t" o:hr="t"/>
        </w:pict>
      </w:r>
    </w:p>
    <w:bookmarkEnd w:id="14"/>
    <w:bookmarkEnd w:id="15"/>
    <w:bookmarkStart w:id="18" w:name="Xe60bcbc933be259d2d06e04557a31f246f5ea39"/>
    <w:p>
      <w:pPr>
        <w:pStyle w:val="Heading2"/>
      </w:pPr>
      <w:r>
        <w:t xml:space="preserve">Other segments: what could move the result</w:t>
      </w:r>
    </w:p>
    <w:bookmarkStart w:id="16" w:name="products-pipelines"/>
    <w:p>
      <w:pPr>
        <w:pStyle w:val="Heading3"/>
      </w:pPr>
      <w:r>
        <w:t xml:space="preserve">Products Pipelines</w:t>
      </w:r>
    </w:p>
    <w:p>
      <w:pPr>
        <w:pStyle w:val="FirstParagraph"/>
      </w:pPr>
      <w:r>
        <w:t xml:space="preserve">Products Pipelines posted a strong 1Q, helped by transmix commodity pricing, retroactive rate recovery, and easier comparisons around a prior-year turnaround. The volume picture was mixed: refined-products volumes were down</w:t>
      </w:r>
      <w:r>
        <w:t xml:space="preserve"> </w:t>
      </w:r>
      <w:r>
        <w:rPr>
          <w:b/>
          <w:bCs/>
        </w:rPr>
        <w:t xml:space="preserve">2%</w:t>
      </w:r>
      <w:r>
        <w:t xml:space="preserve">, while crude and condensate volumes were down</w:t>
      </w:r>
      <w:r>
        <w:t xml:space="preserve"> </w:t>
      </w:r>
      <w:r>
        <w:rPr>
          <w:b/>
          <w:bCs/>
        </w:rPr>
        <w:t xml:space="preserve">12%</w:t>
      </w:r>
      <w:r>
        <w:t xml:space="preserve">, primarily because Double H was converted to NGL service.</w:t>
      </w:r>
    </w:p>
    <w:p>
      <w:pPr>
        <w:pStyle w:val="BodyText"/>
      </w:pPr>
      <w:r>
        <w:t xml:space="preserve">For 2Q, investors should look for:</w:t>
      </w:r>
    </w:p>
    <w:p>
      <w:pPr>
        <w:pStyle w:val="Compact"/>
        <w:numPr>
          <w:ilvl w:val="0"/>
          <w:numId w:val="1007"/>
        </w:numPr>
      </w:pPr>
      <w:r>
        <w:t xml:space="preserve">Whether consumer demand and higher fuel prices affect refined-product throughput.</w:t>
      </w:r>
    </w:p>
    <w:p>
      <w:pPr>
        <w:pStyle w:val="Compact"/>
        <w:numPr>
          <w:ilvl w:val="0"/>
          <w:numId w:val="1007"/>
        </w:numPr>
      </w:pPr>
      <w:r>
        <w:t xml:space="preserve">Progress toward FID on the proposed</w:t>
      </w:r>
      <w:r>
        <w:t xml:space="preserve"> </w:t>
      </w:r>
      <w:r>
        <w:rPr>
          <w:b/>
          <w:bCs/>
        </w:rPr>
        <w:t xml:space="preserve">Western Gateway</w:t>
      </w:r>
      <w:r>
        <w:t xml:space="preserve"> </w:t>
      </w:r>
      <w:r>
        <w:t xml:space="preserve">system with Phillips 66.</w:t>
      </w:r>
    </w:p>
    <w:p>
      <w:pPr>
        <w:pStyle w:val="Compact"/>
        <w:numPr>
          <w:ilvl w:val="0"/>
          <w:numId w:val="1007"/>
        </w:numPr>
      </w:pPr>
      <w:r>
        <w:t xml:space="preserve">The start-up contribution from the Hiland Express/Double H NGL conversion.</w:t>
      </w:r>
    </w:p>
    <w:p>
      <w:pPr>
        <w:pStyle w:val="Compact"/>
        <w:numPr>
          <w:ilvl w:val="0"/>
          <w:numId w:val="1007"/>
        </w:numPr>
      </w:pPr>
      <w:r>
        <w:t xml:space="preserve">Continued realization of rate increases and stable operating margins.</w:t>
      </w:r>
    </w:p>
    <w:bookmarkEnd w:id="16"/>
    <w:bookmarkStart w:id="17" w:name="co2--energy-transition-ventures"/>
    <w:p>
      <w:pPr>
        <w:pStyle w:val="Heading3"/>
      </w:pPr>
      <w:r>
        <w:t xml:space="preserve">CO</w:t>
      </w:r>
      <w:r>
        <w:t xml:space="preserve">2</w:t>
      </w:r>
      <w:r>
        <w:t xml:space="preserve"> </w:t>
      </w:r>
      <w:r>
        <w:t xml:space="preserve">/ Energy Transition Ventures</w:t>
      </w:r>
    </w:p>
    <w:p>
      <w:pPr>
        <w:pStyle w:val="FirstParagraph"/>
      </w:pPr>
      <w:r>
        <w:t xml:space="preserve">The CO</w:t>
      </w:r>
      <w:r>
        <w:t xml:space="preserve">2</w:t>
      </w:r>
      <w:r>
        <w:t xml:space="preserve"> </w:t>
      </w:r>
      <w:r>
        <w:t xml:space="preserve">segment is a smaller driver but remains the main direct commodity-price sensitivity. KMI is substantially hedged: as of 1Q, it had hedges on</w:t>
      </w:r>
      <w:r>
        <w:t xml:space="preserve"> </w:t>
      </w:r>
      <w:r>
        <w:rPr>
          <w:b/>
          <w:bCs/>
        </w:rPr>
        <w:t xml:space="preserve">23.15 MBbl/d</w:t>
      </w:r>
      <w:r>
        <w:t xml:space="preserve"> </w:t>
      </w:r>
      <w:r>
        <w:t xml:space="preserve">of 2026 crude output at an average</w:t>
      </w:r>
      <w:r>
        <w:t xml:space="preserve"> </w:t>
      </w:r>
      <w:r>
        <w:rPr>
          <w:b/>
          <w:bCs/>
        </w:rPr>
        <w:t xml:space="preserve">$64.54/bbl</w:t>
      </w:r>
      <w:r>
        <w:t xml:space="preserve">. Management has said roughly 90% of current-year oil production was hedged.</w:t>
      </w:r>
    </w:p>
    <w:p>
      <w:pPr>
        <w:pStyle w:val="BodyText"/>
      </w:pPr>
      <w:r>
        <w:t xml:space="preserve">Higher oil prices can help the unhedged portion, but earnings will also depend on production volumes, power costs, NGL realizations, and RNG/RIN performance. Geopolitical oil-market volatility should therefore be a modest tailwind rather than a thesis-changing earnings driver.</w:t>
      </w:r>
    </w:p>
    <w:p>
      <w:r>
        <w:pict>
          <v:rect style="width:0;height:1.5pt" o:hralign="center" o:hrstd="t" o:hr="t"/>
        </w:pict>
      </w:r>
    </w:p>
    <w:bookmarkEnd w:id="17"/>
    <w:bookmarkEnd w:id="18"/>
    <w:bookmarkStart w:id="19" w:name="X287df2c412b94517ad03c05f9b6b0796b38c6af"/>
    <w:p>
      <w:pPr>
        <w:pStyle w:val="Heading2"/>
      </w:pPr>
      <w:r>
        <w:t xml:space="preserve">Financial position and dividend: still a source of support</w:t>
      </w:r>
    </w:p>
    <w:p>
      <w:pPr>
        <w:pStyle w:val="FirstParagraph"/>
      </w:pPr>
      <w:r>
        <w:t xml:space="preserve">KMI ended 1Q with:</w:t>
      </w:r>
    </w:p>
    <w:p>
      <w:pPr>
        <w:pStyle w:val="Compact"/>
        <w:numPr>
          <w:ilvl w:val="0"/>
          <w:numId w:val="1008"/>
        </w:numPr>
      </w:pPr>
      <w:r>
        <w:rPr>
          <w:b/>
          <w:bCs/>
        </w:rPr>
        <w:t xml:space="preserve">$31.8 billion</w:t>
      </w:r>
      <w:r>
        <w:t xml:space="preserve"> </w:t>
      </w:r>
      <w:r>
        <w:t xml:space="preserve">of net debt;</w:t>
      </w:r>
    </w:p>
    <w:p>
      <w:pPr>
        <w:pStyle w:val="Compact"/>
        <w:numPr>
          <w:ilvl w:val="0"/>
          <w:numId w:val="1008"/>
        </w:numPr>
      </w:pPr>
      <w:r>
        <w:rPr>
          <w:b/>
          <w:bCs/>
        </w:rPr>
        <w:t xml:space="preserve">3.6x</w:t>
      </w:r>
      <w:r>
        <w:t xml:space="preserve"> </w:t>
      </w:r>
      <w:r>
        <w:t xml:space="preserve">net debt/Adjusted EBITDA, down from 3.8x at year-end;</w:t>
      </w:r>
    </w:p>
    <w:p>
      <w:pPr>
        <w:pStyle w:val="Compact"/>
        <w:numPr>
          <w:ilvl w:val="0"/>
          <w:numId w:val="1008"/>
        </w:numPr>
      </w:pPr>
      <w:r>
        <w:rPr>
          <w:b/>
          <w:bCs/>
        </w:rPr>
        <w:t xml:space="preserve">$1.491 billion</w:t>
      </w:r>
      <w:r>
        <w:t xml:space="preserve"> </w:t>
      </w:r>
      <w:r>
        <w:t xml:space="preserve">of operating cash flow;</w:t>
      </w:r>
    </w:p>
    <w:p>
      <w:pPr>
        <w:pStyle w:val="Compact"/>
        <w:numPr>
          <w:ilvl w:val="0"/>
          <w:numId w:val="1008"/>
        </w:numPr>
      </w:pPr>
      <w:r>
        <w:rPr>
          <w:b/>
          <w:bCs/>
        </w:rPr>
        <w:t xml:space="preserve">$687 million</w:t>
      </w:r>
      <w:r>
        <w:t xml:space="preserve"> </w:t>
      </w:r>
      <w:r>
        <w:t xml:space="preserve">of free cash flow after capex; and</w:t>
      </w:r>
    </w:p>
    <w:p>
      <w:pPr>
        <w:pStyle w:val="Compact"/>
        <w:numPr>
          <w:ilvl w:val="0"/>
          <w:numId w:val="1008"/>
        </w:numPr>
      </w:pPr>
      <w:r>
        <w:t xml:space="preserve">a</w:t>
      </w:r>
      <w:r>
        <w:t xml:space="preserve"> </w:t>
      </w:r>
      <m:oMath>
        <m:r>
          <m:t>0.2975</m:t>
        </m:r>
        <m:r>
          <m:rPr>
            <m:sty m:val="p"/>
          </m:rPr>
          <m:t>*</m:t>
        </m:r>
        <m:r>
          <m:rPr>
            <m:sty m:val="p"/>
          </m:rPr>
          <m:t>*</m:t>
        </m:r>
        <m:r>
          <m:t>q</m:t>
        </m:r>
        <m:r>
          <m:t>u</m:t>
        </m:r>
        <m:r>
          <m:t>a</m:t>
        </m:r>
        <m:r>
          <m:t>r</m:t>
        </m:r>
        <m:r>
          <m:t>t</m:t>
        </m:r>
        <m:r>
          <m:t>e</m:t>
        </m:r>
        <m:r>
          <m:t>r</m:t>
        </m:r>
        <m:r>
          <m:t>l</m:t>
        </m:r>
        <m:r>
          <m:t>y</m:t>
        </m:r>
        <m:r>
          <m:t>d</m:t>
        </m:r>
        <m:r>
          <m:t>i</m:t>
        </m:r>
        <m:r>
          <m:t>v</m:t>
        </m:r>
        <m:r>
          <m:t>i</m:t>
        </m:r>
        <m:r>
          <m:t>d</m:t>
        </m:r>
        <m:r>
          <m:t>e</m:t>
        </m:r>
        <m:r>
          <m:t>n</m:t>
        </m:r>
        <m:r>
          <m:t>d</m:t>
        </m:r>
        <m:r>
          <m:rPr>
            <m:sty m:val="p"/>
          </m:rPr>
          <m:t>,</m:t>
        </m:r>
        <m:r>
          <m:t>o</m:t>
        </m:r>
        <m:r>
          <m:t>r</m:t>
        </m:r>
        <m:r>
          <m:rPr>
            <m:sty m:val="p"/>
          </m:rPr>
          <m:t>*</m:t>
        </m:r>
        <m:r>
          <m:rPr>
            <m:sty m:val="p"/>
          </m:rPr>
          <m:t>*</m:t>
        </m:r>
      </m:oMath>
      <w:r>
        <w:rPr>
          <w:b/>
          <w:bCs/>
        </w:rPr>
        <w:t xml:space="preserve">1.19 annualized</w:t>
      </w:r>
      <w:r>
        <w:t xml:space="preserve">.</w:t>
      </w:r>
    </w:p>
    <w:p>
      <w:pPr>
        <w:pStyle w:val="FirstParagraph"/>
      </w:pPr>
      <w:r>
        <w:t xml:space="preserve">The stock closed at</w:t>
      </w:r>
      <w:r>
        <w:t xml:space="preserve"> </w:t>
      </w:r>
      <w:r>
        <w:rPr>
          <w:b/>
          <w:bCs/>
        </w:rPr>
        <w:t xml:space="preserve">$32.39 on July 21</w:t>
      </w:r>
      <w:r>
        <w:t xml:space="preserve">, up about</w:t>
      </w:r>
      <w:r>
        <w:t xml:space="preserve"> </w:t>
      </w:r>
      <w:r>
        <w:rPr>
          <w:b/>
          <w:bCs/>
        </w:rPr>
        <w:t xml:space="preserve">1.3%</w:t>
      </w:r>
      <w:r>
        <w:t xml:space="preserve"> </w:t>
      </w:r>
      <w:r>
        <w:t xml:space="preserve">from June 30; the annualized dividend equates to an indicated yield of roughly</w:t>
      </w:r>
      <w:r>
        <w:t xml:space="preserve"> </w:t>
      </w:r>
      <w:r>
        <w:rPr>
          <w:b/>
          <w:bCs/>
        </w:rPr>
        <w:t xml:space="preserve">3.7%</w:t>
      </w:r>
      <w:r>
        <w:t xml:space="preserve"> </w:t>
      </w:r>
      <w:r>
        <w:t xml:space="preserve">at that price.</w:t>
      </w:r>
    </w:p>
    <w:p>
      <w:pPr>
        <w:pStyle w:val="BodyText"/>
      </w:pPr>
      <w:r>
        <w:t xml:space="preserve">The balance-sheet story has improved materially. Moody’s upgraded KMI to</w:t>
      </w:r>
      <w:r>
        <w:t xml:space="preserve"> </w:t>
      </w:r>
      <w:r>
        <w:rPr>
          <w:b/>
          <w:bCs/>
        </w:rPr>
        <w:t xml:space="preserve">Baa1</w:t>
      </w:r>
      <w:r>
        <w:t xml:space="preserve"> </w:t>
      </w:r>
      <w:r>
        <w:t xml:space="preserve">in March, giving the company the equivalent of BBB+ ratings at all three major agencies. The main capital-allocation test in 2Q is whether KMI can keep funding its sizable growth program, Monument, and the dividend while holding leverage near its stated range.</w:t>
      </w:r>
    </w:p>
    <w:p>
      <w:r>
        <w:pict>
          <v:rect style="width:0;height:1.5pt" o:hralign="center" o:hrstd="t" o:hr="t"/>
        </w:pict>
      </w:r>
    </w:p>
    <w:bookmarkEnd w:id="19"/>
    <w:bookmarkStart w:id="20" w:name="what-would-constitute-a-bullish-result"/>
    <w:p>
      <w:pPr>
        <w:pStyle w:val="Heading2"/>
      </w:pPr>
      <w:r>
        <w:t xml:space="preserve">What would constitute a bullish result?</w:t>
      </w:r>
    </w:p>
    <w:p>
      <w:pPr>
        <w:pStyle w:val="Compact"/>
        <w:numPr>
          <w:ilvl w:val="0"/>
          <w:numId w:val="1009"/>
        </w:numPr>
      </w:pPr>
      <w:r>
        <w:rPr>
          <w:b/>
          <w:bCs/>
        </w:rPr>
        <w:t xml:space="preserve">Guidance increases</w:t>
      </w:r>
      <w:r>
        <w:t xml:space="preserve"> </w:t>
      </w:r>
      <w:r>
        <w:t xml:space="preserve">or greater specificity around the existing &gt;3% EBITDA-outperformance expectation.</w:t>
      </w:r>
    </w:p>
    <w:p>
      <w:pPr>
        <w:pStyle w:val="Compact"/>
        <w:numPr>
          <w:ilvl w:val="0"/>
          <w:numId w:val="1009"/>
        </w:numPr>
      </w:pPr>
      <w:r>
        <w:t xml:space="preserve">Gas-pipeline performance that remains strong even without the 1Q weather tailwind.</w:t>
      </w:r>
    </w:p>
    <w:p>
      <w:pPr>
        <w:pStyle w:val="Compact"/>
        <w:numPr>
          <w:ilvl w:val="0"/>
          <w:numId w:val="1009"/>
        </w:numPr>
      </w:pPr>
      <w:r>
        <w:t xml:space="preserve">A sizable increase in sanctioned backlog, particularly power-demand projects.</w:t>
      </w:r>
    </w:p>
    <w:p>
      <w:pPr>
        <w:pStyle w:val="Compact"/>
        <w:numPr>
          <w:ilvl w:val="0"/>
          <w:numId w:val="1009"/>
        </w:numPr>
      </w:pPr>
      <w:r>
        <w:t xml:space="preserve">Confirmation that Monument closed on schedule, with credible synergy/expansion commentary.</w:t>
      </w:r>
    </w:p>
    <w:p>
      <w:pPr>
        <w:pStyle w:val="Compact"/>
        <w:numPr>
          <w:ilvl w:val="0"/>
          <w:numId w:val="1009"/>
        </w:numPr>
      </w:pPr>
      <w:r>
        <w:t xml:space="preserve">Positive FERC/permitting progress for SSE4 and MSX.</w:t>
      </w:r>
    </w:p>
    <w:p>
      <w:pPr>
        <w:pStyle w:val="Compact"/>
        <w:numPr>
          <w:ilvl w:val="0"/>
          <w:numId w:val="1009"/>
        </w:numPr>
      </w:pPr>
      <w:r>
        <w:t xml:space="preserve">Continued capital discipline: projects on time and on budget, with leverage still pointed toward ~3.7x at year-end.</w:t>
      </w:r>
    </w:p>
    <w:p>
      <w:pPr>
        <w:pStyle w:val="Compact"/>
        <w:numPr>
          <w:ilvl w:val="0"/>
          <w:numId w:val="1009"/>
        </w:numPr>
      </w:pPr>
      <w:r>
        <w:t xml:space="preserve">A clean recurring earnings picture in Terminals after separating out the contract-termination payment.</w:t>
      </w:r>
    </w:p>
    <w:bookmarkEnd w:id="20"/>
    <w:bookmarkStart w:id="21" w:name="X2a18fefb2a0f64e3af2afc7bd105e7381ff9ae3"/>
    <w:p>
      <w:pPr>
        <w:pStyle w:val="Heading2"/>
      </w:pPr>
      <w:r>
        <w:t xml:space="preserve">What would constitute a disappointing result?</w:t>
      </w:r>
    </w:p>
    <w:p>
      <w:pPr>
        <w:pStyle w:val="Compact"/>
        <w:numPr>
          <w:ilvl w:val="0"/>
          <w:numId w:val="1010"/>
        </w:numPr>
      </w:pPr>
      <w:r>
        <w:t xml:space="preserve">Management frames most of 1Q outperformance as weather-driven and does not support further upside after 2Q.</w:t>
      </w:r>
    </w:p>
    <w:p>
      <w:pPr>
        <w:pStyle w:val="Compact"/>
        <w:numPr>
          <w:ilvl w:val="0"/>
          <w:numId w:val="1010"/>
        </w:numPr>
      </w:pPr>
      <w:r>
        <w:t xml:space="preserve">Natural-gas volumes or gathering growth decelerate materially.</w:t>
      </w:r>
    </w:p>
    <w:p>
      <w:pPr>
        <w:pStyle w:val="Compact"/>
        <w:numPr>
          <w:ilvl w:val="0"/>
          <w:numId w:val="1010"/>
        </w:numPr>
      </w:pPr>
      <w:r>
        <w:t xml:space="preserve">FERC or construction setbacks affect the timing/cost of large growth projects.</w:t>
      </w:r>
    </w:p>
    <w:p>
      <w:pPr>
        <w:pStyle w:val="Compact"/>
        <w:numPr>
          <w:ilvl w:val="0"/>
          <w:numId w:val="1010"/>
        </w:numPr>
      </w:pPr>
      <w:r>
        <w:t xml:space="preserve">Western Gateway fails to advance toward FID.</w:t>
      </w:r>
    </w:p>
    <w:p>
      <w:pPr>
        <w:pStyle w:val="Compact"/>
        <w:numPr>
          <w:ilvl w:val="0"/>
          <w:numId w:val="1010"/>
        </w:numPr>
      </w:pPr>
      <w:r>
        <w:t xml:space="preserve">Free cash flow after dividends becomes persistently thin as capex accelerates.</w:t>
      </w:r>
    </w:p>
    <w:p>
      <w:pPr>
        <w:pStyle w:val="Compact"/>
        <w:numPr>
          <w:ilvl w:val="0"/>
          <w:numId w:val="1010"/>
        </w:numPr>
      </w:pPr>
      <w:r>
        <w:t xml:space="preserve">Higher commodity prices weaken refined-products demand or create unexpected working-capital pressure.</w:t>
      </w:r>
    </w:p>
    <w:p>
      <w:r>
        <w:pict>
          <v:rect style="width:0;height:1.5pt" o:hralign="center" o:hrstd="t" o:hr="t"/>
        </w:pict>
      </w:r>
    </w:p>
    <w:bookmarkEnd w:id="21"/>
    <w:bookmarkStart w:id="23" w:name="bottom-line"/>
    <w:p>
      <w:pPr>
        <w:pStyle w:val="Heading2"/>
      </w:pPr>
      <w:r>
        <w:t xml:space="preserve">Bottom line</w:t>
      </w:r>
    </w:p>
    <w:p>
      <w:pPr>
        <w:pStyle w:val="FirstParagraph"/>
      </w:pPr>
      <w:r>
        <w:t xml:space="preserve">KMI’s 2Q26 report is less about whether the company can beat a quarterly number and more about whether management can</w:t>
      </w:r>
      <w:r>
        <w:t xml:space="preserve"> </w:t>
      </w:r>
      <w:r>
        <w:rPr>
          <w:b/>
          <w:bCs/>
        </w:rPr>
        <w:t xml:space="preserve">validate a higher normalized earnings trajectory</w:t>
      </w:r>
      <w:r>
        <w:t xml:space="preserve">. The company has an unusually favorable strategic position in U.S. natural-gas infrastructure: a large, highly utilized network; meaningful storage; LNG connectivity; and an expanding opportunity set tied to power demand, industrial load, and data centers.</w:t>
      </w:r>
    </w:p>
    <w:p>
      <w:pPr>
        <w:pStyle w:val="BodyText"/>
      </w:pPr>
      <w:r>
        <w:t xml:space="preserve">The near-term valuation debate will hinge on the</w:t>
      </w:r>
      <w:r>
        <w:t xml:space="preserve"> </w:t>
      </w:r>
      <w:r>
        <w:rPr>
          <w:b/>
          <w:bCs/>
        </w:rPr>
        <w:t xml:space="preserve">quality and persistence</w:t>
      </w:r>
      <w:r>
        <w:t xml:space="preserve"> </w:t>
      </w:r>
      <w:r>
        <w:t xml:space="preserve">of 1Q’s outperformance. If KMI shows that base-business strength, contracted growth projects, and Monument can offset the fade in weather and one-time terminal benefits, investors should view 2026 as a transition toward stronger 2027–2029 EBITDA rather than simply a good first quarter.</w:t>
      </w:r>
    </w:p>
    <w:bookmarkStart w:id="22" w:name="primary-materials-reviewed"/>
    <w:p>
      <w:pPr>
        <w:pStyle w:val="Heading3"/>
      </w:pPr>
      <w:r>
        <w:t xml:space="preserve">Primary materials reviewed</w:t>
      </w:r>
    </w:p>
    <w:p>
      <w:pPr>
        <w:pStyle w:val="Compact"/>
        <w:numPr>
          <w:ilvl w:val="0"/>
          <w:numId w:val="1011"/>
        </w:numPr>
      </w:pPr>
      <w:r>
        <w:t xml:space="preserve">Kinder Morgan 1Q26 earnings release and earnings-call transcript, April 22, 2026.</w:t>
      </w:r>
    </w:p>
    <w:p>
      <w:pPr>
        <w:pStyle w:val="Compact"/>
        <w:numPr>
          <w:ilvl w:val="0"/>
          <w:numId w:val="1011"/>
        </w:numPr>
      </w:pPr>
      <w:r>
        <w:t xml:space="preserve">Kinder Morgan 1Q26 Form 10-Q, filed April 24, 2026.</w:t>
      </w:r>
    </w:p>
    <w:p>
      <w:pPr>
        <w:pStyle w:val="Compact"/>
        <w:numPr>
          <w:ilvl w:val="0"/>
          <w:numId w:val="1011"/>
        </w:numPr>
      </w:pPr>
      <w:r>
        <w:t xml:space="preserve">Kinder Morgan 2Q25 earnings release, July 16, 2025.</w:t>
      </w:r>
    </w:p>
    <w:p>
      <w:pPr>
        <w:pStyle w:val="Compact"/>
        <w:numPr>
          <w:ilvl w:val="0"/>
          <w:numId w:val="1011"/>
        </w:numPr>
      </w:pPr>
      <w:r>
        <w:t xml:space="preserve">Recent KMI and energy-sector news through July 21,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2026-07-22T00:29:10Z</dcterms:created>
  <dcterms:modified xsi:type="dcterms:W3CDTF">2026-07-22T00:29:10Z</dcterms:modified>
</cp:coreProperties>
</file>

<file path=docProps/custom.xml><?xml version="1.0" encoding="utf-8"?>
<Properties xmlns="http://schemas.openxmlformats.org/officeDocument/2006/custom-properties" xmlns:vt="http://schemas.openxmlformats.org/officeDocument/2006/docPropsVTypes"/>
</file>