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Kinder Morgan, Inc. (KMI)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Kinder Morgan, Inc.</w:t>
            </w:r>
          </w:p>
        </w:tc>
      </w:tr>
      <w:tr>
        <w:tc>
          <w:tcPr>
            <w:tcW w:type="dxa" w:w="4320"/>
          </w:tcPr>
          <w:p>
            <w:r>
              <w:rPr>
                <w:rFonts w:ascii="Calibri" w:hAnsi="Calibri"/>
                <w:b/>
                <w:sz w:val="22"/>
              </w:rPr>
              <w:t>Ticker</w:t>
            </w:r>
          </w:p>
        </w:tc>
        <w:tc>
          <w:tcPr>
            <w:tcW w:type="dxa" w:w="4320"/>
          </w:tcPr>
          <w:p>
            <w:r>
              <w:rPr>
                <w:rFonts w:ascii="Calibri" w:hAnsi="Calibri"/>
                <w:sz w:val="22"/>
              </w:rPr>
              <w:t>KMI (NYSE)</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(webcast announced July 15, 2026)</w:t>
            </w:r>
          </w:p>
        </w:tc>
      </w:tr>
      <w:tr>
        <w:tc>
          <w:tcPr>
            <w:tcW w:type="dxa" w:w="4320"/>
          </w:tcPr>
          <w:p>
            <w:r>
              <w:rPr>
                <w:rFonts w:ascii="Calibri" w:hAnsi="Calibri"/>
                <w:b/>
                <w:sz w:val="22"/>
              </w:rPr>
              <w:t>Last Earnings Date</w:t>
            </w:r>
          </w:p>
        </w:tc>
        <w:tc>
          <w:tcPr>
            <w:tcW w:type="dxa" w:w="4320"/>
          </w:tcPr>
          <w:p>
            <w:r>
              <w:rPr>
                <w:rFonts w:ascii="Calibri" w:hAnsi="Calibri"/>
                <w:sz w:val="22"/>
              </w:rPr>
              <w:t>April 22, 2026 (Q1 2026)</w:t>
            </w:r>
          </w:p>
        </w:tc>
      </w:tr>
      <w:tr>
        <w:tc>
          <w:tcPr>
            <w:tcW w:type="dxa" w:w="4320"/>
          </w:tcPr>
          <w:p>
            <w:r>
              <w:rPr>
                <w:rFonts w:ascii="Calibri" w:hAnsi="Calibri"/>
                <w:b/>
                <w:sz w:val="22"/>
              </w:rPr>
              <w:t>Prepared Date</w:t>
            </w:r>
          </w:p>
        </w:tc>
        <w:tc>
          <w:tcPr>
            <w:tcW w:type="dxa" w:w="4320"/>
          </w:tcPr>
          <w:p>
            <w:r>
              <w:rPr>
                <w:rFonts w:ascii="Calibri" w:hAnsi="Calibri"/>
                <w:sz w:val="22"/>
              </w:rPr>
              <w:t>July 21, 2026</w:t>
            </w:r>
          </w:p>
        </w:tc>
      </w:tr>
      <w:tr>
        <w:tc>
          <w:tcPr>
            <w:tcW w:type="dxa" w:w="4320"/>
          </w:tcPr>
          <w:p>
            <w:r>
              <w:rPr>
                <w:rFonts w:ascii="Calibri" w:hAnsi="Calibri"/>
                <w:b/>
                <w:sz w:val="22"/>
              </w:rPr>
              <w:t>Sector / Sub-Sector</w:t>
            </w:r>
          </w:p>
        </w:tc>
        <w:tc>
          <w:tcPr>
            <w:tcW w:type="dxa" w:w="4320"/>
          </w:tcPr>
          <w:p>
            <w:r>
              <w:rPr>
                <w:rFonts w:ascii="Calibri" w:hAnsi="Calibri"/>
                <w:sz w:val="22"/>
              </w:rPr>
              <w:t>Energy / Oil &amp; Gas Midstream</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a layup — the bar is achievable given management's raised full-year EBITDA guidance (&gt;3% above budget), but Q2 is seasonally the weakest quarter and lacks the weather-driven tailwinds that made Q1 exceptional; the biggest swing factor is whether natural gas transport volumes hold up without Winter Storm Fern and whether Permian gathering volumes can offset Waha-driven producer shut-ins.</w:t>
      </w:r>
    </w:p>
    <w:p>
      <w:r>
        <w:rPr>
          <w:rFonts w:ascii="Calibri" w:hAnsi="Calibri"/>
          <w:color w:val="525866"/>
          <w:sz w:val="22"/>
        </w:rPr>
        <w:t xml:space="preserve">Heading into Q2 2026, KMI's setup is moderately positive: management raised full-year adjusted EBITDA guidance to more than 3% above budget (&gt;$250M incremental) on the Q1 call, and the Monument Pipeline acquisition (closed ahead of schedule) adds incremental EBITDA contribution not originally in the budget. </w:t>
      </w:r>
      <w:r>
        <w:rPr>
          <w:rFonts w:ascii="Calibri" w:hAnsi="Calibri"/>
          <w:color w:val="525866"/>
          <w:sz w:val="22"/>
        </w:rPr>
        <w:t>The bar for Q2 is lower than Q1 — consensus sits at ~$2.08B adjusted EBITDA vs. Q1's $2.54B actual — reflecting the absence of Winter Storm Fern and the seasonal step-down that management explicitly flagged.</w:t>
      </w:r>
      <w:r>
        <w:rPr>
          <w:rFonts w:ascii="Calibri" w:hAnsi="Calibri"/>
          <w:color w:val="525866"/>
          <w:sz w:val="22"/>
        </w:rPr>
        <w:t xml:space="preserve"> Management's tone on the Q1 call was highly bullish, citing the U.S.-Israel-Iran conflict as a structural long-term positive for U.S. LNG demand and noting that S&amp;P Global now projects 153 GW of new gas-fired generation capacity, twice the estimate from a year ago; this confidence has not been walked back at any subsequent conference appearance.</w:t>
      </w:r>
      <w:r>
        <w:rPr>
          <w:rFonts w:ascii="Calibri" w:hAnsi="Calibri"/>
          <w:color w:val="525866"/>
          <w:sz w:val="22"/>
        </w:rPr>
        <w:t xml:space="preserve"> Estimate revisions have been modestly positive since the Q1 print, with FY2026 EBITDA consensus ticking up slightly, suggesting the Street is gradually incorporating management's raised guidance rather than front-running it aggressively.</w:t>
      </w:r>
      <w:r>
        <w:rPr>
          <w:rFonts w:ascii="Calibri" w:hAnsi="Calibri"/>
          <w:color w:val="525866"/>
          <w:sz w:val="22"/>
        </w:rPr>
        <w:t xml:space="preserve"> The stock has traded roughly flat since earnings (up ~1.8% vs. AMLP +4.8%, SPY +5.2%), suggesting the market has not yet fully priced in the improved growth narrative, leaving room for a positive re-rating if Q2 delivers in line or better.</w:t>
      </w:r>
      <w:r>
        <w:rPr>
          <w:rFonts w:ascii="Calibri" w:hAnsi="Calibri"/>
          <w:color w:val="525866"/>
          <w:sz w:val="22"/>
        </w:rPr>
        <w:t xml:space="preserve"> The key wildcard is Permian gathering volumes: Targa and Energy Transfer both flagged 200–400 MMcf/d of Permian gas being temporarily shut in due to weak Waha prices in Q2, which could weigh on KMI's gathering segment, though the company's predominantly take-or-pay contract structure limits direct volume risk.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seasonally appropriate, achievable bar for Q2 — adjusted EBITDA of ~$2.08B implies modest YoY growth and is well below Q1's weather-boosted $2.54B; the bigger swing factor is natural gas transport volumes, where the comp is easier (Q2 2025 actual was ~44.6 TBtu/d) and LNG feed gas demand continues to ramp.</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 ($B)</w:t>
            </w:r>
          </w:p>
        </w:tc>
        <w:tc>
          <w:tcPr>
            <w:tcW w:type="dxa" w:w="1234"/>
          </w:tcPr>
          <w:p>
            <w:r>
              <w:rPr>
                <w:rFonts w:ascii="Calibri" w:hAnsi="Calibri"/>
                <w:sz w:val="22"/>
              </w:rPr>
              <w:t>$2.539B</w:t>
            </w:r>
          </w:p>
        </w:tc>
        <w:tc>
          <w:tcPr>
            <w:tcW w:type="dxa" w:w="1234"/>
          </w:tcPr>
          <w:p>
            <w:r>
              <w:rPr>
                <w:rFonts w:ascii="Calibri" w:hAnsi="Calibri"/>
                <w:sz w:val="22"/>
              </w:rPr>
              <w:t>$1.972B</w:t>
            </w:r>
          </w:p>
        </w:tc>
        <w:tc>
          <w:tcPr>
            <w:tcW w:type="dxa" w:w="1234"/>
          </w:tcPr>
          <w:p>
            <w:r>
              <w:rPr>
                <w:rFonts w:ascii="Calibri" w:hAnsi="Calibri"/>
                <w:sz w:val="22"/>
              </w:rPr>
              <w:t>$2.076B</w:t>
            </w:r>
          </w:p>
        </w:tc>
        <w:tc>
          <w:tcPr>
            <w:tcW w:type="dxa" w:w="1234"/>
          </w:tcPr>
          <w:p>
            <w:r>
              <w:rPr>
                <w:rFonts w:ascii="Calibri" w:hAnsi="Calibri"/>
                <w:sz w:val="22"/>
              </w:rPr>
              <w:t>+5.3%</w:t>
            </w:r>
          </w:p>
        </w:tc>
        <w:tc>
          <w:tcPr>
            <w:tcW w:type="dxa" w:w="1234"/>
          </w:tcPr>
          <w:p>
            <w:r>
              <w:rPr>
                <w:rFonts w:ascii="Calibri" w:hAnsi="Calibri"/>
                <w:sz w:val="22"/>
              </w:rPr>
              <w:t>FY2026 &gt;3% above budget (~$8.7B+ implied); no Q2-specific guidance</w:t>
            </w:r>
          </w:p>
        </w:tc>
        <w:tc>
          <w:tcPr>
            <w:tcW w:type="dxa" w:w="1234"/>
          </w:tcPr>
          <w:p>
            <w:r>
              <w:rPr>
                <w:rFonts w:ascii="Calibri" w:hAnsi="Calibri"/>
                <w:sz w:val="22"/>
              </w:rPr>
              <w:t>Tracking above implied run-rate</w:t>
            </w:r>
          </w:p>
        </w:tc>
      </w:tr>
      <w:tr>
        <w:tc>
          <w:tcPr>
            <w:tcW w:type="dxa" w:w="1234"/>
          </w:tcPr>
          <w:p>
            <w:r>
              <w:rPr>
                <w:rFonts w:ascii="Calibri" w:hAnsi="Calibri"/>
                <w:sz w:val="22"/>
              </w:rPr>
              <w:t>EPS — Diluted Operating ($/sh)</w:t>
            </w:r>
          </w:p>
        </w:tc>
        <w:tc>
          <w:tcPr>
            <w:tcW w:type="dxa" w:w="1234"/>
          </w:tcPr>
          <w:p>
            <w:r>
              <w:rPr>
                <w:rFonts w:ascii="Calibri" w:hAnsi="Calibri"/>
                <w:sz w:val="22"/>
              </w:rPr>
              <w:t>$0.48</w:t>
            </w:r>
          </w:p>
        </w:tc>
        <w:tc>
          <w:tcPr>
            <w:tcW w:type="dxa" w:w="1234"/>
          </w:tcPr>
          <w:p>
            <w:r>
              <w:rPr>
                <w:rFonts w:ascii="Calibri" w:hAnsi="Calibri"/>
                <w:sz w:val="22"/>
              </w:rPr>
              <w:t>$0.28</w:t>
            </w:r>
          </w:p>
        </w:tc>
        <w:tc>
          <w:tcPr>
            <w:tcW w:type="dxa" w:w="1234"/>
          </w:tcPr>
          <w:p>
            <w:r>
              <w:rPr>
                <w:rFonts w:ascii="Calibri" w:hAnsi="Calibri"/>
                <w:sz w:val="22"/>
              </w:rPr>
              <w:t>$0.310</w:t>
            </w:r>
          </w:p>
        </w:tc>
        <w:tc>
          <w:tcPr>
            <w:tcW w:type="dxa" w:w="1234"/>
          </w:tcPr>
          <w:p>
            <w:r>
              <w:rPr>
                <w:rFonts w:ascii="Calibri" w:hAnsi="Calibri"/>
                <w:sz w:val="22"/>
              </w:rPr>
              <w:t>+10.7%</w:t>
            </w:r>
          </w:p>
        </w:tc>
        <w:tc>
          <w:tcPr>
            <w:tcW w:type="dxa" w:w="1234"/>
          </w:tcPr>
          <w:p>
            <w:r>
              <w:rPr>
                <w:rFonts w:ascii="Calibri" w:hAnsi="Calibri"/>
                <w:sz w:val="22"/>
              </w:rPr>
              <w:t>No Q2-specific EPS guidance; FY2026 EPS growth expected</w:t>
            </w:r>
          </w:p>
        </w:tc>
        <w:tc>
          <w:tcPr>
            <w:tcW w:type="dxa" w:w="1234"/>
          </w:tcPr>
          <w:p>
            <w:r>
              <w:rPr>
                <w:rFonts w:ascii="Calibri" w:hAnsi="Calibri"/>
                <w:sz w:val="22"/>
              </w:rPr>
              <w:t>N/A (no Q2 guidance)</w:t>
            </w:r>
          </w:p>
        </w:tc>
      </w:tr>
      <w:tr>
        <w:tc>
          <w:tcPr>
            <w:tcW w:type="dxa" w:w="1234"/>
          </w:tcPr>
          <w:p>
            <w:r>
              <w:rPr>
                <w:rFonts w:ascii="Calibri" w:hAnsi="Calibri"/>
                <w:sz w:val="22"/>
              </w:rPr>
              <w:t>DCF per Share ($/sh)</w:t>
            </w:r>
          </w:p>
        </w:tc>
        <w:tc>
          <w:tcPr>
            <w:tcW w:type="dxa" w:w="1234"/>
          </w:tcPr>
          <w:p>
            <w:r>
              <w:rPr>
                <w:rFonts w:ascii="Calibri" w:hAnsi="Calibri"/>
                <w:sz w:val="22"/>
              </w:rPr>
              <w:t>$0.856</w:t>
            </w:r>
          </w:p>
        </w:tc>
        <w:tc>
          <w:tcPr>
            <w:tcW w:type="dxa" w:w="1234"/>
          </w:tcPr>
          <w:p>
            <w:r>
              <w:rPr>
                <w:rFonts w:ascii="Calibri" w:hAnsi="Calibri"/>
                <w:sz w:val="22"/>
              </w:rPr>
              <w:t>$0.524</w:t>
            </w:r>
          </w:p>
        </w:tc>
        <w:tc>
          <w:tcPr>
            <w:tcW w:type="dxa" w:w="1234"/>
          </w:tcPr>
          <w:p>
            <w:r>
              <w:rPr>
                <w:rFonts w:ascii="Calibri" w:hAnsi="Calibri"/>
                <w:sz w:val="22"/>
              </w:rPr>
              <w:t>$0.601</w:t>
            </w:r>
          </w:p>
        </w:tc>
        <w:tc>
          <w:tcPr>
            <w:tcW w:type="dxa" w:w="1234"/>
          </w:tcPr>
          <w:p>
            <w:r>
              <w:rPr>
                <w:rFonts w:ascii="Calibri" w:hAnsi="Calibri"/>
                <w:sz w:val="22"/>
              </w:rPr>
              <w:t>+14.7%</w:t>
            </w:r>
          </w:p>
        </w:tc>
        <w:tc>
          <w:tcPr>
            <w:tcW w:type="dxa" w:w="1234"/>
          </w:tcPr>
          <w:p>
            <w:r>
              <w:rPr>
                <w:rFonts w:ascii="Calibri" w:hAnsi="Calibri"/>
                <w:sz w:val="22"/>
              </w:rPr>
              <w:t>FY2026 DCF consensus $2.705/sh</w:t>
            </w:r>
          </w:p>
        </w:tc>
        <w:tc>
          <w:tcPr>
            <w:tcW w:type="dxa" w:w="1234"/>
          </w:tcPr>
          <w:p>
            <w:r>
              <w:rPr>
                <w:rFonts w:ascii="Calibri" w:hAnsi="Calibri"/>
                <w:sz w:val="22"/>
              </w:rPr>
              <w:t>N/A (no Q2 guidance)</w:t>
            </w:r>
          </w:p>
        </w:tc>
      </w:tr>
      <w:tr>
        <w:tc>
          <w:tcPr>
            <w:tcW w:type="dxa" w:w="1234"/>
          </w:tcPr>
          <w:p>
            <w:r>
              <w:rPr>
                <w:rFonts w:ascii="Calibri" w:hAnsi="Calibri"/>
                <w:sz w:val="22"/>
              </w:rPr>
              <w:t>Total Revenues ($B)</w:t>
            </w:r>
          </w:p>
        </w:tc>
        <w:tc>
          <w:tcPr>
            <w:tcW w:type="dxa" w:w="1234"/>
          </w:tcPr>
          <w:p>
            <w:r>
              <w:rPr>
                <w:rFonts w:ascii="Calibri" w:hAnsi="Calibri"/>
                <w:sz w:val="22"/>
              </w:rPr>
              <w:t>$4.828B</w:t>
            </w:r>
          </w:p>
        </w:tc>
        <w:tc>
          <w:tcPr>
            <w:tcW w:type="dxa" w:w="1234"/>
          </w:tcPr>
          <w:p>
            <w:r>
              <w:rPr>
                <w:rFonts w:ascii="Calibri" w:hAnsi="Calibri"/>
                <w:sz w:val="22"/>
              </w:rPr>
              <w:t>$4.042B</w:t>
            </w:r>
          </w:p>
        </w:tc>
        <w:tc>
          <w:tcPr>
            <w:tcW w:type="dxa" w:w="1234"/>
          </w:tcPr>
          <w:p>
            <w:r>
              <w:rPr>
                <w:rFonts w:ascii="Calibri" w:hAnsi="Calibri"/>
                <w:sz w:val="22"/>
              </w:rPr>
              <w:t>$4.231B</w:t>
            </w:r>
          </w:p>
        </w:tc>
        <w:tc>
          <w:tcPr>
            <w:tcW w:type="dxa" w:w="1234"/>
          </w:tcPr>
          <w:p>
            <w:r>
              <w:rPr>
                <w:rFonts w:ascii="Calibri" w:hAnsi="Calibri"/>
                <w:sz w:val="22"/>
              </w:rPr>
              <w:t>+4.7%</w:t>
            </w:r>
          </w:p>
        </w:tc>
        <w:tc>
          <w:tcPr>
            <w:tcW w:type="dxa" w:w="1234"/>
          </w:tcPr>
          <w:p>
            <w:r>
              <w:rPr>
                <w:rFonts w:ascii="Calibri" w:hAnsi="Calibri"/>
                <w:sz w:val="22"/>
              </w:rPr>
              <w:t>No specific revenue guidance</w:t>
            </w:r>
          </w:p>
        </w:tc>
        <w:tc>
          <w:tcPr>
            <w:tcW w:type="dxa" w:w="1234"/>
          </w:tcPr>
          <w:p>
            <w:r>
              <w:rPr>
                <w:rFonts w:ascii="Calibri" w:hAnsi="Calibri"/>
                <w:sz w:val="22"/>
              </w:rPr>
              <w:t>N/A</w:t>
            </w:r>
          </w:p>
        </w:tc>
      </w:tr>
      <w:tr>
        <w:tc>
          <w:tcPr>
            <w:tcW w:type="dxa" w:w="1234"/>
          </w:tcPr>
          <w:p>
            <w:r>
              <w:rPr>
                <w:rFonts w:ascii="Calibri" w:hAnsi="Calibri"/>
                <w:sz w:val="22"/>
              </w:rPr>
              <w:t>Natural Gas Transport Volumes (TBtu/d)</w:t>
            </w:r>
          </w:p>
        </w:tc>
        <w:tc>
          <w:tcPr>
            <w:tcW w:type="dxa" w:w="1234"/>
          </w:tcPr>
          <w:p>
            <w:r>
              <w:rPr>
                <w:rFonts w:ascii="Calibri" w:hAnsi="Calibri"/>
                <w:sz w:val="22"/>
              </w:rPr>
              <w:t>~49.5 TBtu/d</w:t>
            </w:r>
          </w:p>
        </w:tc>
        <w:tc>
          <w:tcPr>
            <w:tcW w:type="dxa" w:w="1234"/>
          </w:tcPr>
          <w:p>
            <w:r>
              <w:rPr>
                <w:rFonts w:ascii="Calibri" w:hAnsi="Calibri"/>
                <w:sz w:val="22"/>
              </w:rPr>
              <w:t>~44.6 TBtu/d</w:t>
            </w:r>
          </w:p>
        </w:tc>
        <w:tc>
          <w:tcPr>
            <w:tcW w:type="dxa" w:w="1234"/>
          </w:tcPr>
          <w:p>
            <w:r>
              <w:rPr>
                <w:rFonts w:ascii="Calibri" w:hAnsi="Calibri"/>
                <w:sz w:val="22"/>
              </w:rPr>
              <w:t>~46.0 TBtu/d</w:t>
            </w:r>
          </w:p>
        </w:tc>
        <w:tc>
          <w:tcPr>
            <w:tcW w:type="dxa" w:w="1234"/>
          </w:tcPr>
          <w:p>
            <w:r>
              <w:rPr>
                <w:rFonts w:ascii="Calibri" w:hAnsi="Calibri"/>
                <w:sz w:val="22"/>
              </w:rPr>
              <w:t>+3.1%</w:t>
            </w:r>
          </w:p>
        </w:tc>
        <w:tc>
          <w:tcPr>
            <w:tcW w:type="dxa" w:w="1234"/>
          </w:tcPr>
          <w:p>
            <w:r>
              <w:rPr>
                <w:rFonts w:ascii="Calibri" w:hAnsi="Calibri"/>
                <w:sz w:val="22"/>
              </w:rPr>
              <w:t>No Q2-specific volume guidance; FY2026 consensus ~47.8 TBtu/d</w:t>
            </w:r>
          </w:p>
        </w:tc>
        <w:tc>
          <w:tcPr>
            <w:tcW w:type="dxa" w:w="1234"/>
          </w:tcPr>
          <w:p>
            <w:r>
              <w:rPr>
                <w:rFonts w:ascii="Calibri" w:hAnsi="Calibri"/>
                <w:sz w:val="22"/>
              </w:rPr>
              <w:t>N/A</w:t>
            </w:r>
          </w:p>
        </w:tc>
      </w:tr>
      <w:tr>
        <w:tc>
          <w:tcPr>
            <w:tcW w:type="dxa" w:w="1234"/>
          </w:tcPr>
          <w:p>
            <w:r>
              <w:rPr>
                <w:rFonts w:ascii="Calibri" w:hAnsi="Calibri"/>
                <w:sz w:val="22"/>
              </w:rPr>
              <w:t>Natural Gas Gathering Volumes (TBtu/d)</w:t>
            </w:r>
          </w:p>
        </w:tc>
        <w:tc>
          <w:tcPr>
            <w:tcW w:type="dxa" w:w="1234"/>
          </w:tcPr>
          <w:p>
            <w:r>
              <w:rPr>
                <w:rFonts w:ascii="Calibri" w:hAnsi="Calibri"/>
                <w:sz w:val="22"/>
              </w:rPr>
              <w:t>~4.32 TBtu/d</w:t>
            </w:r>
          </w:p>
        </w:tc>
        <w:tc>
          <w:tcPr>
            <w:tcW w:type="dxa" w:w="1234"/>
          </w:tcPr>
          <w:p>
            <w:r>
              <w:rPr>
                <w:rFonts w:ascii="Calibri" w:hAnsi="Calibri"/>
                <w:sz w:val="22"/>
              </w:rPr>
              <w:t>~3.93 TBtu/d</w:t>
            </w:r>
          </w:p>
        </w:tc>
        <w:tc>
          <w:tcPr>
            <w:tcW w:type="dxa" w:w="1234"/>
          </w:tcPr>
          <w:p>
            <w:r>
              <w:rPr>
                <w:rFonts w:ascii="Calibri" w:hAnsi="Calibri"/>
                <w:sz w:val="22"/>
              </w:rPr>
              <w:t>~4.37 TBtu/d</w:t>
            </w:r>
          </w:p>
        </w:tc>
        <w:tc>
          <w:tcPr>
            <w:tcW w:type="dxa" w:w="1234"/>
          </w:tcPr>
          <w:p>
            <w:r>
              <w:rPr>
                <w:rFonts w:ascii="Calibri" w:hAnsi="Calibri"/>
                <w:sz w:val="22"/>
              </w:rPr>
              <w:t>+11.2%</w:t>
            </w:r>
          </w:p>
        </w:tc>
        <w:tc>
          <w:tcPr>
            <w:tcW w:type="dxa" w:w="1234"/>
          </w:tcPr>
          <w:p>
            <w:r>
              <w:rPr>
                <w:rFonts w:ascii="Calibri" w:hAnsi="Calibri"/>
                <w:sz w:val="22"/>
              </w:rPr>
              <w:t>No Q2-specific guidance; FY2026 consensus ~4.44 TBtu/d</w:t>
            </w:r>
          </w:p>
        </w:tc>
        <w:tc>
          <w:tcPr>
            <w:tcW w:type="dxa" w:w="1234"/>
          </w:tcPr>
          <w:p>
            <w:r>
              <w:rPr>
                <w:rFonts w:ascii="Calibri" w:hAnsi="Calibri"/>
                <w:sz w:val="22"/>
              </w:rPr>
              <w:t>N/A</w:t>
            </w:r>
          </w:p>
        </w:tc>
      </w:tr>
      <w:tr>
        <w:tc>
          <w:tcPr>
            <w:tcW w:type="dxa" w:w="1234"/>
          </w:tcPr>
          <w:p>
            <w:r>
              <w:rPr>
                <w:rFonts w:ascii="Calibri" w:hAnsi="Calibri"/>
                <w:sz w:val="22"/>
              </w:rPr>
              <w:t>Distributable Cash Flow ($B)</w:t>
            </w:r>
          </w:p>
        </w:tc>
        <w:tc>
          <w:tcPr>
            <w:tcW w:type="dxa" w:w="1234"/>
          </w:tcPr>
          <w:p>
            <w:r>
              <w:rPr>
                <w:rFonts w:ascii="Calibri" w:hAnsi="Calibri"/>
                <w:sz w:val="22"/>
              </w:rPr>
              <w:t>$1.857B</w:t>
            </w:r>
          </w:p>
        </w:tc>
        <w:tc>
          <w:tcPr>
            <w:tcW w:type="dxa" w:w="1234"/>
          </w:tcPr>
          <w:p>
            <w:r>
              <w:rPr>
                <w:rFonts w:ascii="Calibri" w:hAnsi="Calibri"/>
                <w:sz w:val="22"/>
              </w:rPr>
              <w:t>$1.164B</w:t>
            </w:r>
          </w:p>
        </w:tc>
        <w:tc>
          <w:tcPr>
            <w:tcW w:type="dxa" w:w="1234"/>
          </w:tcPr>
          <w:p>
            <w:r>
              <w:rPr>
                <w:rFonts w:ascii="Calibri" w:hAnsi="Calibri"/>
                <w:sz w:val="22"/>
              </w:rPr>
              <w:t>$1.337B</w:t>
            </w:r>
          </w:p>
        </w:tc>
        <w:tc>
          <w:tcPr>
            <w:tcW w:type="dxa" w:w="1234"/>
          </w:tcPr>
          <w:p>
            <w:r>
              <w:rPr>
                <w:rFonts w:ascii="Calibri" w:hAnsi="Calibri"/>
                <w:sz w:val="22"/>
              </w:rPr>
              <w:t>+14.9%</w:t>
            </w:r>
          </w:p>
        </w:tc>
        <w:tc>
          <w:tcPr>
            <w:tcW w:type="dxa" w:w="1234"/>
          </w:tcPr>
          <w:p>
            <w:r>
              <w:rPr>
                <w:rFonts w:ascii="Calibri" w:hAnsi="Calibri"/>
                <w:sz w:val="22"/>
              </w:rPr>
              <w:t>FY2026 DCF consensus $6.01B</w:t>
            </w:r>
          </w:p>
        </w:tc>
        <w:tc>
          <w:tcPr>
            <w:tcW w:type="dxa" w:w="1234"/>
          </w:tcPr>
          <w:p>
            <w:r>
              <w:rPr>
                <w:rFonts w:ascii="Calibri" w:hAnsi="Calibri"/>
                <w:sz w:val="22"/>
              </w:rPr>
              <w:t>N/A</w:t>
            </w:r>
          </w:p>
        </w:tc>
      </w:tr>
      <w:tr>
        <w:tc>
          <w:tcPr>
            <w:tcW w:type="dxa" w:w="1234"/>
          </w:tcPr>
          <w:p>
            <w:r>
              <w:rPr>
                <w:rFonts w:ascii="Calibri" w:hAnsi="Calibri"/>
                <w:sz w:val="22"/>
              </w:rPr>
              <w:t>Dividend per Share ($/sh)</w:t>
            </w:r>
          </w:p>
        </w:tc>
        <w:tc>
          <w:tcPr>
            <w:tcW w:type="dxa" w:w="1234"/>
          </w:tcPr>
          <w:p>
            <w:r>
              <w:rPr>
                <w:rFonts w:ascii="Calibri" w:hAnsi="Calibri"/>
                <w:sz w:val="22"/>
              </w:rPr>
              <w:t>$0.2975</w:t>
            </w:r>
          </w:p>
        </w:tc>
        <w:tc>
          <w:tcPr>
            <w:tcW w:type="dxa" w:w="1234"/>
          </w:tcPr>
          <w:p>
            <w:r>
              <w:rPr>
                <w:rFonts w:ascii="Calibri" w:hAnsi="Calibri"/>
                <w:sz w:val="22"/>
              </w:rPr>
              <w:t>$0.2925</w:t>
            </w:r>
          </w:p>
        </w:tc>
        <w:tc>
          <w:tcPr>
            <w:tcW w:type="dxa" w:w="1234"/>
          </w:tcPr>
          <w:p>
            <w:r>
              <w:rPr>
                <w:rFonts w:ascii="Calibri" w:hAnsi="Calibri"/>
                <w:sz w:val="22"/>
              </w:rPr>
              <w:t>$0.297</w:t>
            </w:r>
          </w:p>
        </w:tc>
        <w:tc>
          <w:tcPr>
            <w:tcW w:type="dxa" w:w="1234"/>
          </w:tcPr>
          <w:p>
            <w:r>
              <w:rPr>
                <w:rFonts w:ascii="Calibri" w:hAnsi="Calibri"/>
                <w:sz w:val="22"/>
              </w:rPr>
              <w:t>+1.7%</w:t>
            </w:r>
          </w:p>
        </w:tc>
        <w:tc>
          <w:tcPr>
            <w:tcW w:type="dxa" w:w="1234"/>
          </w:tcPr>
          <w:p>
            <w:r>
              <w:rPr>
                <w:rFonts w:ascii="Calibri" w:hAnsi="Calibri"/>
                <w:sz w:val="22"/>
              </w:rPr>
              <w:t>FY2026 dividend consensus $1.190/sh</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21, 2026. Transport and gathering volumes converted from raw Bbtu figures in VA dataset. YoY change calculated vs. Q2 2025 actuals. Note: Q1 2026 actual transport volumes were up 8% YoY per management commentary; Q1 2026 actual gathering volumes were up 15% YoY.</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$1.858B</w:t>
            </w:r>
          </w:p>
        </w:tc>
        <w:tc>
          <w:tcPr>
            <w:tcW w:type="dxa" w:w="1728"/>
          </w:tcPr>
          <w:p>
            <w:r>
              <w:rPr>
                <w:rFonts w:ascii="Calibri" w:hAnsi="Calibri"/>
                <w:sz w:val="22"/>
              </w:rPr>
              <w:t>$1.912B</w:t>
            </w:r>
          </w:p>
        </w:tc>
        <w:tc>
          <w:tcPr>
            <w:tcW w:type="dxa" w:w="1728"/>
          </w:tcPr>
          <w:p>
            <w:r>
              <w:rPr>
                <w:rFonts w:ascii="Calibri" w:hAnsi="Calibri"/>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$1.880B</w:t>
            </w:r>
          </w:p>
        </w:tc>
        <w:tc>
          <w:tcPr>
            <w:tcW w:type="dxa" w:w="1728"/>
          </w:tcPr>
          <w:p>
            <w:r>
              <w:rPr>
                <w:rFonts w:ascii="Calibri" w:hAnsi="Calibri"/>
                <w:sz w:val="22"/>
              </w:rPr>
              <w:t>$1.927B</w:t>
            </w:r>
          </w:p>
        </w:tc>
        <w:tc>
          <w:tcPr>
            <w:tcW w:type="dxa" w:w="1728"/>
          </w:tcPr>
          <w:p>
            <w:r>
              <w:rPr>
                <w:rFonts w:ascii="Calibri" w:hAnsi="Calibri"/>
                <w:sz w:val="22"/>
              </w:rPr>
              <w:t>-2.4%</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$2.063B</w:t>
            </w:r>
          </w:p>
        </w:tc>
        <w:tc>
          <w:tcPr>
            <w:tcW w:type="dxa" w:w="1728"/>
          </w:tcPr>
          <w:p>
            <w:r>
              <w:rPr>
                <w:rFonts w:ascii="Calibri" w:hAnsi="Calibri"/>
                <w:sz w:val="22"/>
              </w:rPr>
              <w:t>$2.089B</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$2.157B</w:t>
            </w:r>
          </w:p>
        </w:tc>
        <w:tc>
          <w:tcPr>
            <w:tcW w:type="dxa" w:w="1728"/>
          </w:tcPr>
          <w:p>
            <w:r>
              <w:rPr>
                <w:rFonts w:ascii="Calibri" w:hAnsi="Calibri"/>
                <w:sz w:val="22"/>
              </w:rPr>
              <w:t>$2.147B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$1.972B</w:t>
            </w:r>
          </w:p>
        </w:tc>
        <w:tc>
          <w:tcPr>
            <w:tcW w:type="dxa" w:w="1728"/>
          </w:tcPr>
          <w:p>
            <w:r>
              <w:rPr>
                <w:rFonts w:ascii="Calibri" w:hAnsi="Calibri"/>
                <w:sz w:val="22"/>
              </w:rPr>
              <w:t>$1.969B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$1.991B</w:t>
            </w:r>
          </w:p>
        </w:tc>
        <w:tc>
          <w:tcPr>
            <w:tcW w:type="dxa" w:w="1728"/>
          </w:tcPr>
          <w:p>
            <w:r>
              <w:rPr>
                <w:rFonts w:ascii="Calibri" w:hAnsi="Calibri"/>
                <w:sz w:val="22"/>
              </w:rPr>
              <w:t>$1.993B</w:t>
            </w:r>
          </w:p>
        </w:tc>
        <w:tc>
          <w:tcPr>
            <w:tcW w:type="dxa" w:w="1728"/>
          </w:tcPr>
          <w:p>
            <w:r>
              <w:rPr>
                <w:rFonts w:ascii="Calibri" w:hAnsi="Calibri"/>
                <w:sz w:val="22"/>
              </w:rPr>
              <w:t>-0.1%</w:t>
            </w:r>
          </w:p>
        </w:tc>
        <w:tc>
          <w:tcPr>
            <w:tcW w:type="dxa" w:w="1728"/>
          </w:tcPr>
          <w:p>
            <w:r>
              <w:rPr>
                <w:rFonts w:ascii="Calibri" w:hAnsi="Calibri"/>
                <w:b/>
                <w:color w:val="E5484D"/>
                <w:sz w:val="22"/>
              </w:rPr>
              <w:t>In-Line</w:t>
            </w:r>
          </w:p>
        </w:tc>
      </w:tr>
      <w:tr>
        <w:tc>
          <w:tcPr>
            <w:tcW w:type="dxa" w:w="1728"/>
          </w:tcPr>
          <w:p>
            <w:r>
              <w:rPr>
                <w:rFonts w:ascii="Calibri" w:hAnsi="Calibri"/>
                <w:sz w:val="22"/>
              </w:rPr>
              <w:t>Q4 2025</w:t>
            </w:r>
          </w:p>
        </w:tc>
        <w:tc>
          <w:tcPr>
            <w:tcW w:type="dxa" w:w="1728"/>
          </w:tcPr>
          <w:p>
            <w:r>
              <w:rPr>
                <w:rFonts w:ascii="Calibri" w:hAnsi="Calibri"/>
                <w:sz w:val="22"/>
              </w:rPr>
              <w:t>$2.271B</w:t>
            </w:r>
          </w:p>
        </w:tc>
        <w:tc>
          <w:tcPr>
            <w:tcW w:type="dxa" w:w="1728"/>
          </w:tcPr>
          <w:p>
            <w:r>
              <w:rPr>
                <w:rFonts w:ascii="Calibri" w:hAnsi="Calibri"/>
                <w:sz w:val="22"/>
              </w:rPr>
              <w:t>$2.210B</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$2.539B</w:t>
            </w:r>
          </w:p>
        </w:tc>
        <w:tc>
          <w:tcPr>
            <w:tcW w:type="dxa" w:w="1728"/>
          </w:tcPr>
          <w:p>
            <w:r>
              <w:rPr>
                <w:rFonts w:ascii="Calibri" w:hAnsi="Calibri"/>
                <w:sz w:val="22"/>
              </w:rPr>
              <w:t>$2.300B</w:t>
            </w:r>
          </w:p>
        </w:tc>
        <w:tc>
          <w:tcPr>
            <w:tcW w:type="dxa" w:w="1728"/>
          </w:tcPr>
          <w:p>
            <w:r>
              <w:rPr>
                <w:rFonts w:ascii="Calibri" w:hAnsi="Calibri"/>
                <w:sz w:val="22"/>
              </w:rPr>
              <w:t>+10.4%</w:t>
            </w:r>
          </w:p>
        </w:tc>
        <w:tc>
          <w:tcPr>
            <w:tcW w:type="dxa" w:w="1728"/>
          </w:tcPr>
          <w:p>
            <w:r>
              <w:rPr>
                <w:rFonts w:ascii="Calibri" w:hAnsi="Calibri"/>
                <w:b/>
                <w:color w:val="30A46C"/>
                <w:sz w:val="22"/>
              </w:rPr>
              <w:t>Large Beat</w:t>
            </w:r>
          </w:p>
        </w:tc>
      </w:tr>
    </w:tbl>
    <w:p>
      <w:r>
        <w:rPr>
          <w:rFonts w:ascii="Calibri" w:hAnsi="Calibri"/>
          <w:b/>
          <w:color w:val="525866"/>
          <w:sz w:val="22"/>
        </w:rPr>
        <w:t>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($/sh)</w:t>
            </w:r>
          </w:p>
        </w:tc>
        <w:tc>
          <w:tcPr>
            <w:tcW w:type="dxa" w:w="1728"/>
            <w:shd w:val="clear" w:color="auto" w:fill="3B4259"/>
          </w:tcPr>
          <w:p>
            <w:r>
              <w:rPr>
                <w:rFonts w:ascii="Calibri" w:hAnsi="Calibri"/>
                <w:b/>
                <w:color w:val="FFFFFF"/>
                <w:sz w:val="22"/>
              </w:rPr>
              <w:t>Consensus ($/sh)</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$0.25</w:t>
            </w:r>
          </w:p>
        </w:tc>
        <w:tc>
          <w:tcPr>
            <w:tcW w:type="dxa" w:w="1728"/>
          </w:tcPr>
          <w:p>
            <w:r>
              <w:rPr>
                <w:rFonts w:ascii="Calibri" w:hAnsi="Calibri"/>
                <w:sz w:val="22"/>
              </w:rPr>
              <w:t>$0.257</w:t>
            </w:r>
          </w:p>
        </w:tc>
        <w:tc>
          <w:tcPr>
            <w:tcW w:type="dxa" w:w="1728"/>
          </w:tcPr>
          <w:p>
            <w:r>
              <w:rPr>
                <w:rFonts w:ascii="Calibri" w:hAnsi="Calibri"/>
                <w:sz w:val="22"/>
              </w:rPr>
              <w:t>-2.7%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$0.25</w:t>
            </w:r>
          </w:p>
        </w:tc>
        <w:tc>
          <w:tcPr>
            <w:tcW w:type="dxa" w:w="1728"/>
          </w:tcPr>
          <w:p>
            <w:r>
              <w:rPr>
                <w:rFonts w:ascii="Calibri" w:hAnsi="Calibri"/>
                <w:sz w:val="22"/>
              </w:rPr>
              <w:t>$0.269</w:t>
            </w:r>
          </w:p>
        </w:tc>
        <w:tc>
          <w:tcPr>
            <w:tcW w:type="dxa" w:w="1728"/>
          </w:tcPr>
          <w:p>
            <w:r>
              <w:rPr>
                <w:rFonts w:ascii="Calibri" w:hAnsi="Calibri"/>
                <w:sz w:val="22"/>
              </w:rPr>
              <w:t>-7.1%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$0.32</w:t>
            </w:r>
          </w:p>
        </w:tc>
        <w:tc>
          <w:tcPr>
            <w:tcW w:type="dxa" w:w="1728"/>
          </w:tcPr>
          <w:p>
            <w:r>
              <w:rPr>
                <w:rFonts w:ascii="Calibri" w:hAnsi="Calibri"/>
                <w:sz w:val="22"/>
              </w:rPr>
              <w:t>$0.332</w:t>
            </w:r>
          </w:p>
        </w:tc>
        <w:tc>
          <w:tcPr>
            <w:tcW w:type="dxa" w:w="1728"/>
          </w:tcPr>
          <w:p>
            <w:r>
              <w:rPr>
                <w:rFonts w:ascii="Calibri" w:hAnsi="Calibri"/>
                <w:sz w:val="22"/>
              </w:rPr>
              <w:t>-3.6%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$0.34</w:t>
            </w:r>
          </w:p>
        </w:tc>
        <w:tc>
          <w:tcPr>
            <w:tcW w:type="dxa" w:w="1728"/>
          </w:tcPr>
          <w:p>
            <w:r>
              <w:rPr>
                <w:rFonts w:ascii="Calibri" w:hAnsi="Calibri"/>
                <w:sz w:val="22"/>
              </w:rPr>
              <w:t>$0.341</w:t>
            </w:r>
          </w:p>
        </w:tc>
        <w:tc>
          <w:tcPr>
            <w:tcW w:type="dxa" w:w="1728"/>
          </w:tcPr>
          <w:p>
            <w:r>
              <w:rPr>
                <w:rFonts w:ascii="Calibri" w:hAnsi="Calibri"/>
                <w:sz w:val="22"/>
              </w:rPr>
              <w:t>-0.3%</w:t>
            </w:r>
          </w:p>
        </w:tc>
        <w:tc>
          <w:tcPr>
            <w:tcW w:type="dxa" w:w="1728"/>
          </w:tcPr>
          <w:p>
            <w:r>
              <w:rPr>
                <w:rFonts w:ascii="Calibri" w:hAnsi="Calibri"/>
                <w:b/>
                <w:color w:val="E5484D"/>
                <w:sz w:val="22"/>
              </w:rPr>
              <w:t>In-Line</w:t>
            </w:r>
          </w:p>
        </w:tc>
      </w:tr>
      <w:tr>
        <w:tc>
          <w:tcPr>
            <w:tcW w:type="dxa" w:w="1728"/>
          </w:tcPr>
          <w:p>
            <w:r>
              <w:rPr>
                <w:rFonts w:ascii="Calibri" w:hAnsi="Calibri"/>
                <w:sz w:val="22"/>
              </w:rPr>
              <w:t>Q2 2025</w:t>
            </w:r>
          </w:p>
        </w:tc>
        <w:tc>
          <w:tcPr>
            <w:tcW w:type="dxa" w:w="1728"/>
          </w:tcPr>
          <w:p>
            <w:r>
              <w:rPr>
                <w:rFonts w:ascii="Calibri" w:hAnsi="Calibri"/>
                <w:sz w:val="22"/>
              </w:rPr>
              <w:t>$0.28</w:t>
            </w:r>
          </w:p>
        </w:tc>
        <w:tc>
          <w:tcPr>
            <w:tcW w:type="dxa" w:w="1728"/>
          </w:tcPr>
          <w:p>
            <w:r>
              <w:rPr>
                <w:rFonts w:ascii="Calibri" w:hAnsi="Calibri"/>
                <w:sz w:val="22"/>
              </w:rPr>
              <w:t>$0.282</w:t>
            </w:r>
          </w:p>
        </w:tc>
        <w:tc>
          <w:tcPr>
            <w:tcW w:type="dxa" w:w="1728"/>
          </w:tcPr>
          <w:p>
            <w:r>
              <w:rPr>
                <w:rFonts w:ascii="Calibri" w:hAnsi="Calibri"/>
                <w:sz w:val="22"/>
              </w:rPr>
              <w:t>-0.7%</w:t>
            </w:r>
          </w:p>
        </w:tc>
        <w:tc>
          <w:tcPr>
            <w:tcW w:type="dxa" w:w="1728"/>
          </w:tcPr>
          <w:p>
            <w:r>
              <w:rPr>
                <w:rFonts w:ascii="Calibri" w:hAnsi="Calibri"/>
                <w:b/>
                <w:color w:val="E5484D"/>
                <w:sz w:val="22"/>
              </w:rPr>
              <w:t>In-Line</w:t>
            </w:r>
          </w:p>
        </w:tc>
      </w:tr>
      <w:tr>
        <w:tc>
          <w:tcPr>
            <w:tcW w:type="dxa" w:w="1728"/>
          </w:tcPr>
          <w:p>
            <w:r>
              <w:rPr>
                <w:rFonts w:ascii="Calibri" w:hAnsi="Calibri"/>
                <w:sz w:val="22"/>
              </w:rPr>
              <w:t>Q3 2025</w:t>
            </w:r>
          </w:p>
        </w:tc>
        <w:tc>
          <w:tcPr>
            <w:tcW w:type="dxa" w:w="1728"/>
          </w:tcPr>
          <w:p>
            <w:r>
              <w:rPr>
                <w:rFonts w:ascii="Calibri" w:hAnsi="Calibri"/>
                <w:sz w:val="22"/>
              </w:rPr>
              <w:t>$0.29</w:t>
            </w:r>
          </w:p>
        </w:tc>
        <w:tc>
          <w:tcPr>
            <w:tcW w:type="dxa" w:w="1728"/>
          </w:tcPr>
          <w:p>
            <w:r>
              <w:rPr>
                <w:rFonts w:ascii="Calibri" w:hAnsi="Calibri"/>
                <w:sz w:val="22"/>
              </w:rPr>
              <w:t>$0.280</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$0.39</w:t>
            </w:r>
          </w:p>
        </w:tc>
        <w:tc>
          <w:tcPr>
            <w:tcW w:type="dxa" w:w="1728"/>
          </w:tcPr>
          <w:p>
            <w:r>
              <w:rPr>
                <w:rFonts w:ascii="Calibri" w:hAnsi="Calibri"/>
                <w:sz w:val="22"/>
              </w:rPr>
              <w:t>$0.366</w:t>
            </w:r>
          </w:p>
        </w:tc>
        <w:tc>
          <w:tcPr>
            <w:tcW w:type="dxa" w:w="1728"/>
          </w:tcPr>
          <w:p>
            <w:r>
              <w:rPr>
                <w:rFonts w:ascii="Calibri" w:hAnsi="Calibri"/>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$0.48</w:t>
            </w:r>
          </w:p>
        </w:tc>
        <w:tc>
          <w:tcPr>
            <w:tcW w:type="dxa" w:w="1728"/>
          </w:tcPr>
          <w:p>
            <w:r>
              <w:rPr>
                <w:rFonts w:ascii="Calibri" w:hAnsi="Calibri"/>
                <w:sz w:val="22"/>
              </w:rPr>
              <w:t>$0.395</w:t>
            </w:r>
          </w:p>
        </w:tc>
        <w:tc>
          <w:tcPr>
            <w:tcW w:type="dxa" w:w="1728"/>
          </w:tcPr>
          <w:p>
            <w:r>
              <w:rPr>
                <w:rFonts w:ascii="Calibri" w:hAnsi="Calibri"/>
                <w:sz w:val="22"/>
              </w:rPr>
              <w:t>+21.5%</w:t>
            </w:r>
          </w:p>
        </w:tc>
        <w:tc>
          <w:tcPr>
            <w:tcW w:type="dxa" w:w="1728"/>
          </w:tcPr>
          <w:p>
            <w:r>
              <w:rPr>
                <w:rFonts w:ascii="Calibri" w:hAnsi="Calibri"/>
                <w:b/>
                <w:color w:val="30A46C"/>
                <w:sz w:val="22"/>
              </w:rPr>
              <w:t>Large Beat</w:t>
            </w:r>
          </w:p>
        </w:tc>
      </w:tr>
    </w:tbl>
    <w:p>
      <w:r>
        <w:rPr>
          <w:rFonts w:ascii="Calibri" w:hAnsi="Calibri"/>
          <w:b/>
          <w:color w:val="525866"/>
          <w:sz w:val="22"/>
        </w:rPr>
        <w:t xml:space="preserve">Pattern: </w:t>
      </w:r>
      <w:r>
        <w:rPr>
          <w:rFonts w:ascii="Calibri" w:hAnsi="Calibri"/>
          <w:color w:val="525866"/>
          <w:sz w:val="22"/>
        </w:rPr>
        <w:t>KMI missed or came in-line on EBITDA and EPS for the first three quarters of 2024, then shifted to consistent beats from Q4 2025 onward, culminating in a blowout Q1 2026 driven by Winter Storm Fern — the trend of improving execution is clear, but Q2 2026 will test whether the beat cadence can continue without weather tailwinds.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2026 EBITDA guidance on the Q1 call to &gt;3% above budget (&gt;$250M incremental), and tone has remained highly bullish at subsequent conferences; no post-earnings guidance revision has been issued, meaning the Q1 call remains the baseline and the Street has only partially incorporated the raised outlook into FY2026 estimates.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EBITDA</w:t>
            </w:r>
          </w:p>
        </w:tc>
        <w:tc>
          <w:tcPr>
            <w:tcW w:type="dxa" w:w="1728"/>
          </w:tcPr>
          <w:p>
            <w:r>
              <w:rPr>
                <w:rFonts w:ascii="Calibri" w:hAnsi="Calibri"/>
                <w:sz w:val="22"/>
              </w:rPr>
              <w:t>&gt;3% above budget (~$8.7B+); &gt;$250M incremental vs. budget; excludes Monument contribution</w:t>
            </w:r>
          </w:p>
        </w:tc>
        <w:tc>
          <w:tcPr>
            <w:tcW w:type="dxa" w:w="1728"/>
          </w:tcPr>
          <w:p>
            <w:r>
              <w:rPr>
                <w:rFonts w:ascii="Calibri" w:hAnsi="Calibri"/>
                <w:sz w:val="22"/>
              </w:rPr>
              <w:t>—</w:t>
            </w:r>
          </w:p>
        </w:tc>
        <w:tc>
          <w:tcPr>
            <w:tcW w:type="dxa" w:w="1728"/>
          </w:tcPr>
          <w:p>
            <w:r>
              <w:rPr>
                <w:rFonts w:ascii="Calibri" w:hAnsi="Calibri"/>
                <w:sz w:val="22"/>
              </w:rPr>
              <w:t>$8.952B</w:t>
            </w:r>
          </w:p>
        </w:tc>
        <w:tc>
          <w:tcPr>
            <w:tcW w:type="dxa" w:w="1728"/>
          </w:tcPr>
          <w:p>
            <w:r>
              <w:rPr>
                <w:rFonts w:ascii="Calibri" w:hAnsi="Calibri"/>
                <w:sz w:val="22"/>
              </w:rPr>
              <w:t>No post-earnings revision; Monument acquisition (closed ahead of schedule) is additive upside not in original guidance. Management tone remains bullish at May conferences.</w:t>
            </w:r>
          </w:p>
        </w:tc>
      </w:tr>
      <w:tr>
        <w:tc>
          <w:tcPr>
            <w:tcW w:type="dxa" w:w="1728"/>
          </w:tcPr>
          <w:p>
            <w:r>
              <w:rPr>
                <w:rFonts w:ascii="Calibri" w:hAnsi="Calibri"/>
                <w:sz w:val="22"/>
              </w:rPr>
              <w:t>FY2026 Leverage (Net Debt/EBITDA)</w:t>
            </w:r>
          </w:p>
        </w:tc>
        <w:tc>
          <w:tcPr>
            <w:tcW w:type="dxa" w:w="1728"/>
          </w:tcPr>
          <w:p>
            <w:r>
              <w:rPr>
                <w:rFonts w:ascii="Calibri" w:hAnsi="Calibri"/>
                <w:sz w:val="22"/>
              </w:rPr>
              <w:t>~3.7x year-end 2026 (below budgeted 3.8x); lowest since pre-2014 consolidation</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Unchanged; Moody's upgrade to Baa1 completed BBB+ equivalency at all three agencies.</w:t>
            </w:r>
          </w:p>
        </w:tc>
      </w:tr>
      <w:tr>
        <w:tc>
          <w:tcPr>
            <w:tcW w:type="dxa" w:w="1728"/>
          </w:tcPr>
          <w:p>
            <w:r>
              <w:rPr>
                <w:rFonts w:ascii="Calibri" w:hAnsi="Calibri"/>
                <w:sz w:val="22"/>
              </w:rPr>
              <w:t>FY2026 Capital Expenditures</w:t>
            </w:r>
          </w:p>
        </w:tc>
        <w:tc>
          <w:tcPr>
            <w:tcW w:type="dxa" w:w="1728"/>
          </w:tcPr>
          <w:p>
            <w:r>
              <w:rPr>
                <w:rFonts w:ascii="Calibri" w:hAnsi="Calibri"/>
                <w:sz w:val="22"/>
              </w:rPr>
              <w:t>Increased vs. prior guidance; $800M spent in Q1 alone; increased spend expected for remainder of year</w:t>
            </w:r>
          </w:p>
        </w:tc>
        <w:tc>
          <w:tcPr>
            <w:tcW w:type="dxa" w:w="1728"/>
          </w:tcPr>
          <w:p>
            <w:r>
              <w:rPr>
                <w:rFonts w:ascii="Calibri" w:hAnsi="Calibri"/>
                <w:sz w:val="22"/>
              </w:rPr>
              <w:t>—</w:t>
            </w:r>
          </w:p>
        </w:tc>
        <w:tc>
          <w:tcPr>
            <w:tcW w:type="dxa" w:w="1728"/>
          </w:tcPr>
          <w:p>
            <w:r>
              <w:rPr>
                <w:rFonts w:ascii="Calibri" w:hAnsi="Calibri"/>
                <w:sz w:val="22"/>
              </w:rPr>
              <w:t>$3.904B (FY2026 consensus)</w:t>
            </w:r>
          </w:p>
        </w:tc>
        <w:tc>
          <w:tcPr>
            <w:tcW w:type="dxa" w:w="1728"/>
          </w:tcPr>
          <w:p>
            <w:r>
              <w:rPr>
                <w:rFonts w:ascii="Calibri" w:hAnsi="Calibri"/>
                <w:sz w:val="22"/>
              </w:rPr>
              <w:t>No specific FY CapEx dollar guidance given on Q1 call; management flagged increased spend for rest of year. Treasury bonus depreciation guidance creates additional investment capacity.</w:t>
            </w:r>
          </w:p>
        </w:tc>
      </w:tr>
      <w:tr>
        <w:tc>
          <w:tcPr>
            <w:tcW w:type="dxa" w:w="1728"/>
          </w:tcPr>
          <w:p>
            <w:r>
              <w:rPr>
                <w:rFonts w:ascii="Calibri" w:hAnsi="Calibri"/>
                <w:sz w:val="22"/>
              </w:rPr>
              <w:t>Project Backlog</w:t>
            </w:r>
          </w:p>
        </w:tc>
        <w:tc>
          <w:tcPr>
            <w:tcW w:type="dxa" w:w="1728"/>
          </w:tcPr>
          <w:p>
            <w:r>
              <w:rPr>
                <w:rFonts w:ascii="Calibri" w:hAnsi="Calibri"/>
                <w:sz w:val="22"/>
              </w:rPr>
              <w:t>$10.1B sanctioned backlog; avg in-service Q1 2028; backlog multiple &lt;6x</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Three largest projects (&gt;50% of backlog) on time and on budget. Shadow backlog ~$10B additional. Western Gateway JV with Phillips 66 in definitive agreement negotiation.</w:t>
            </w:r>
          </w:p>
        </w:tc>
      </w:tr>
      <w:tr>
        <w:tc>
          <w:tcPr>
            <w:tcW w:type="dxa" w:w="1728"/>
          </w:tcPr>
          <w:p>
            <w:r>
              <w:rPr>
                <w:rFonts w:ascii="Calibri" w:hAnsi="Calibri"/>
                <w:sz w:val="22"/>
              </w:rPr>
              <w:t>FY2026 Dividend per Share</w:t>
            </w:r>
          </w:p>
        </w:tc>
        <w:tc>
          <w:tcPr>
            <w:tcW w:type="dxa" w:w="1728"/>
          </w:tcPr>
          <w:p>
            <w:r>
              <w:rPr>
                <w:rFonts w:ascii="Calibri" w:hAnsi="Calibri"/>
                <w:sz w:val="22"/>
              </w:rPr>
              <w:t>~$1.19/sh implied (quarterly $0.2975 declared in Q1)</w:t>
            </w:r>
          </w:p>
        </w:tc>
        <w:tc>
          <w:tcPr>
            <w:tcW w:type="dxa" w:w="1728"/>
          </w:tcPr>
          <w:p>
            <w:r>
              <w:rPr>
                <w:rFonts w:ascii="Calibri" w:hAnsi="Calibri"/>
                <w:sz w:val="22"/>
              </w:rPr>
              <w:t>—</w:t>
            </w:r>
          </w:p>
        </w:tc>
        <w:tc>
          <w:tcPr>
            <w:tcW w:type="dxa" w:w="1728"/>
          </w:tcPr>
          <w:p>
            <w:r>
              <w:rPr>
                <w:rFonts w:ascii="Calibri" w:hAnsi="Calibri"/>
                <w:sz w:val="22"/>
              </w:rPr>
              <w:t>$1.190/sh</w:t>
            </w:r>
          </w:p>
        </w:tc>
        <w:tc>
          <w:tcPr>
            <w:tcW w:type="dxa" w:w="1728"/>
          </w:tcPr>
          <w:p>
            <w:r>
              <w:rPr>
                <w:rFonts w:ascii="Calibri" w:hAnsi="Calibri"/>
                <w:sz w:val="22"/>
              </w:rPr>
              <w:t>Unchanged; dividend covered ~2.5x by cash flow from operations; ~40% payout ratio.</w:t>
            </w:r>
          </w:p>
        </w:tc>
      </w:tr>
      <w:tr>
        <w:tc>
          <w:tcPr>
            <w:tcW w:type="dxa" w:w="1728"/>
          </w:tcPr>
          <w:p>
            <w:r>
              <w:rPr>
                <w:rFonts w:ascii="Calibri" w:hAnsi="Calibri"/>
                <w:sz w:val="22"/>
              </w:rPr>
              <w:t>Natural Gas Demand Outlook</w:t>
            </w:r>
          </w:p>
        </w:tc>
        <w:tc>
          <w:tcPr>
            <w:tcW w:type="dxa" w:w="1728"/>
          </w:tcPr>
          <w:p>
            <w:r>
              <w:rPr>
                <w:rFonts w:ascii="Calibri" w:hAnsi="Calibri"/>
                <w:sz w:val="22"/>
              </w:rPr>
              <w:t>U.S. gas demand forecast extended to 2031 at 150 Bcf/d (+27% from 2026); 153 GW of new gas-fired generation capacity planned (S&amp;P Global); Middle East conflict structurally positive for U.S. LNG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More bullish than prior calls; management cited Qatar LNG facility damage and Strait of Hormuz disruption as structural long-term positives for U.S. LNG demand.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essentially stable since the Q1 print — the Street has absorbed management's raised guidance without aggressively front-running it, leaving the consensus vs. guidance gap as a modest cushion rather than a stretched bar; FY2026 EBITDA consensus of $8.95B is tracking slightly above the implied guidance midpoint, suggesting the market believes KMI will deliver on its raised outlook.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27,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$2.070B</w:t>
            </w:r>
          </w:p>
        </w:tc>
        <w:tc>
          <w:tcPr>
            <w:tcW w:type="dxa" w:w="1080"/>
          </w:tcPr>
          <w:p>
            <w:r>
              <w:rPr>
                <w:rFonts w:ascii="Calibri" w:hAnsi="Calibri"/>
                <w:sz w:val="22"/>
              </w:rPr>
              <w:t>$2.076B</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$8.947B</w:t>
            </w:r>
          </w:p>
        </w:tc>
        <w:tc>
          <w:tcPr>
            <w:tcW w:type="dxa" w:w="1080"/>
          </w:tcPr>
          <w:p>
            <w:r>
              <w:rPr>
                <w:rFonts w:ascii="Calibri" w:hAnsi="Calibri"/>
                <w:sz w:val="22"/>
              </w:rPr>
              <w:t>$8.952B</w:t>
            </w:r>
          </w:p>
        </w:tc>
        <w:tc>
          <w:tcPr>
            <w:tcW w:type="dxa" w:w="1080"/>
          </w:tcPr>
          <w:p>
            <w:r>
              <w:rPr>
                <w:rFonts w:ascii="Calibri" w:hAnsi="Calibri"/>
                <w:sz w:val="22"/>
              </w:rPr>
              <w:t>+0.1%</w:t>
            </w:r>
          </w:p>
        </w:tc>
        <w:tc>
          <w:tcPr>
            <w:tcW w:type="dxa" w:w="1080"/>
          </w:tcPr>
          <w:p>
            <w:r>
              <w:rPr>
                <w:rFonts w:ascii="Calibri" w:hAnsi="Calibri"/>
                <w:sz w:val="22"/>
              </w:rPr>
              <w:t>&gt;3% above budget (&gt;$8.7B+); &gt;$250M incremental</w:t>
            </w:r>
          </w:p>
        </w:tc>
        <w:tc>
          <w:tcPr>
            <w:tcW w:type="dxa" w:w="1080"/>
          </w:tcPr>
          <w:p>
            <w:r>
              <w:rPr>
                <w:rFonts w:ascii="Calibri" w:hAnsi="Calibri"/>
                <w:sz w:val="22"/>
              </w:rPr>
              <w:t>Unchanged (no post-earnings revision)</w:t>
            </w:r>
          </w:p>
        </w:tc>
        <w:tc>
          <w:tcPr>
            <w:tcW w:type="dxa" w:w="1080"/>
          </w:tcPr>
          <w:p>
            <w:r>
              <w:rPr>
                <w:rFonts w:ascii="Calibri" w:hAnsi="Calibri"/>
                <w:sz w:val="22"/>
              </w:rPr>
              <w:t>—</w:t>
            </w:r>
          </w:p>
        </w:tc>
        <w:tc>
          <w:tcPr>
            <w:tcW w:type="dxa" w:w="1080"/>
          </w:tcPr>
          <w:p>
            <w:r>
              <w:rPr>
                <w:rFonts w:ascii="Calibri" w:hAnsi="Calibri"/>
                <w:sz w:val="22"/>
              </w:rPr>
              <w:t>~+2.9% above implied guidance floor</w:t>
            </w:r>
          </w:p>
        </w:tc>
      </w:tr>
      <w:tr>
        <w:tc>
          <w:tcPr>
            <w:tcW w:type="dxa" w:w="1080"/>
          </w:tcPr>
          <w:p>
            <w:r>
              <w:rPr>
                <w:rFonts w:ascii="Calibri" w:hAnsi="Calibri"/>
                <w:sz w:val="22"/>
              </w:rPr>
              <w:t>EPS (Diluted Operating) — Q2 2026</w:t>
            </w:r>
          </w:p>
        </w:tc>
        <w:tc>
          <w:tcPr>
            <w:tcW w:type="dxa" w:w="1080"/>
          </w:tcPr>
          <w:p>
            <w:r>
              <w:rPr>
                <w:rFonts w:ascii="Calibri" w:hAnsi="Calibri"/>
                <w:sz w:val="22"/>
              </w:rPr>
              <w:t>$0.303</w:t>
            </w:r>
          </w:p>
        </w:tc>
        <w:tc>
          <w:tcPr>
            <w:tcW w:type="dxa" w:w="1080"/>
          </w:tcPr>
          <w:p>
            <w:r>
              <w:rPr>
                <w:rFonts w:ascii="Calibri" w:hAnsi="Calibri"/>
                <w:sz w:val="22"/>
              </w:rPr>
              <w:t>$0.310</w:t>
            </w:r>
          </w:p>
        </w:tc>
        <w:tc>
          <w:tcPr>
            <w:tcW w:type="dxa" w:w="1080"/>
          </w:tcPr>
          <w:p>
            <w:r>
              <w:rPr>
                <w:rFonts w:ascii="Calibri" w:hAnsi="Calibri"/>
                <w:sz w:val="22"/>
              </w:rPr>
              <w:t>+2.3%</w:t>
            </w:r>
          </w:p>
        </w:tc>
        <w:tc>
          <w:tcPr>
            <w:tcW w:type="dxa" w:w="1080"/>
          </w:tcPr>
          <w:p>
            <w:r>
              <w:rPr>
                <w:rFonts w:ascii="Calibri" w:hAnsi="Calibri"/>
                <w:sz w:val="22"/>
              </w:rPr>
              <w:t>No Q2-specific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FY2026</w:t>
            </w:r>
          </w:p>
        </w:tc>
        <w:tc>
          <w:tcPr>
            <w:tcW w:type="dxa" w:w="1080"/>
          </w:tcPr>
          <w:p>
            <w:r>
              <w:rPr>
                <w:rFonts w:ascii="Calibri" w:hAnsi="Calibri"/>
                <w:sz w:val="22"/>
              </w:rPr>
              <w:t>$1.468</w:t>
            </w:r>
          </w:p>
        </w:tc>
        <w:tc>
          <w:tcPr>
            <w:tcW w:type="dxa" w:w="1080"/>
          </w:tcPr>
          <w:p>
            <w:r>
              <w:rPr>
                <w:rFonts w:ascii="Calibri" w:hAnsi="Calibri"/>
                <w:sz w:val="22"/>
              </w:rPr>
              <w:t>$1.479</w:t>
            </w:r>
          </w:p>
        </w:tc>
        <w:tc>
          <w:tcPr>
            <w:tcW w:type="dxa" w:w="1080"/>
          </w:tcPr>
          <w:p>
            <w:r>
              <w:rPr>
                <w:rFonts w:ascii="Calibri" w:hAnsi="Calibri"/>
                <w:sz w:val="22"/>
              </w:rPr>
              <w:t>+0.7%</w:t>
            </w:r>
          </w:p>
        </w:tc>
        <w:tc>
          <w:tcPr>
            <w:tcW w:type="dxa" w:w="1080"/>
          </w:tcPr>
          <w:p>
            <w:r>
              <w:rPr>
                <w:rFonts w:ascii="Calibri" w:hAnsi="Calibri"/>
                <w:sz w:val="22"/>
              </w:rPr>
              <w:t>No specific FY EPS guidance; EBITDA and EPS growth expected substantially over coming years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DCF per Share — Q2 2026</w:t>
            </w:r>
          </w:p>
        </w:tc>
        <w:tc>
          <w:tcPr>
            <w:tcW w:type="dxa" w:w="1080"/>
          </w:tcPr>
          <w:p>
            <w:r>
              <w:rPr>
                <w:rFonts w:ascii="Calibri" w:hAnsi="Calibri"/>
                <w:sz w:val="22"/>
              </w:rPr>
              <w:t>$0.594</w:t>
            </w:r>
          </w:p>
        </w:tc>
        <w:tc>
          <w:tcPr>
            <w:tcW w:type="dxa" w:w="1080"/>
          </w:tcPr>
          <w:p>
            <w:r>
              <w:rPr>
                <w:rFonts w:ascii="Calibri" w:hAnsi="Calibri"/>
                <w:sz w:val="22"/>
              </w:rPr>
              <w:t>$0.601</w:t>
            </w:r>
          </w:p>
        </w:tc>
        <w:tc>
          <w:tcPr>
            <w:tcW w:type="dxa" w:w="1080"/>
          </w:tcPr>
          <w:p>
            <w:r>
              <w:rPr>
                <w:rFonts w:ascii="Calibri" w:hAnsi="Calibri"/>
                <w:sz w:val="22"/>
              </w:rPr>
              <w:t>+1.2%</w:t>
            </w:r>
          </w:p>
        </w:tc>
        <w:tc>
          <w:tcPr>
            <w:tcW w:type="dxa" w:w="1080"/>
          </w:tcPr>
          <w:p>
            <w:r>
              <w:rPr>
                <w:rFonts w:ascii="Calibri" w:hAnsi="Calibri"/>
                <w:sz w:val="22"/>
              </w:rPr>
              <w:t>No Q2-specific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DCF per Share — FY2026</w:t>
            </w:r>
          </w:p>
        </w:tc>
        <w:tc>
          <w:tcPr>
            <w:tcW w:type="dxa" w:w="1080"/>
          </w:tcPr>
          <w:p>
            <w:r>
              <w:rPr>
                <w:rFonts w:ascii="Calibri" w:hAnsi="Calibri"/>
                <w:sz w:val="22"/>
              </w:rPr>
              <w:t>$2.616</w:t>
            </w:r>
          </w:p>
        </w:tc>
        <w:tc>
          <w:tcPr>
            <w:tcW w:type="dxa" w:w="1080"/>
          </w:tcPr>
          <w:p>
            <w:r>
              <w:rPr>
                <w:rFonts w:ascii="Calibri" w:hAnsi="Calibri"/>
                <w:sz w:val="22"/>
              </w:rPr>
              <w:t>$2.705</w:t>
            </w:r>
          </w:p>
        </w:tc>
        <w:tc>
          <w:tcPr>
            <w:tcW w:type="dxa" w:w="1080"/>
          </w:tcPr>
          <w:p>
            <w:r>
              <w:rPr>
                <w:rFonts w:ascii="Calibri" w:hAnsi="Calibri"/>
                <w:sz w:val="22"/>
              </w:rPr>
              <w:t>+3.4%</w:t>
            </w:r>
          </w:p>
        </w:tc>
        <w:tc>
          <w:tcPr>
            <w:tcW w:type="dxa" w:w="1080"/>
          </w:tcPr>
          <w:p>
            <w:r>
              <w:rPr>
                <w:rFonts w:ascii="Calibri" w:hAnsi="Calibri"/>
                <w:sz w:val="22"/>
              </w:rPr>
              <w:t>No specific FY DCF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uses consensus as of April 27, 2026 (5 trading days after April 22, 2026 Q1 earnings). Current consensus as of July 21, 2026. Estimate revisions have been minimal since the Q1 print, consistent with management's guidance being largely absorbed at the time of the call. The modest upward drift in DCF per share (+3.4%) reflects the incremental benefit of Monument Pipeline and Treasury bonus depreciation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KMI has underperformed both the AMLP midstream ETF (+4.8%) and the S&amp;P 500 (+5.2%) since the Q1 2026 earnings date, despite a blowout beat — the muted reaction reflects the market's view that Q1 outperformance was largely weather-driven and non-recurring, and the stock's modest +1.8% gain suggests multiple expansion has not materialized even as the fundamental growth narrative has strengthened.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KMI vs. AMLP (Midstream ETF) vs. S&amp;P 500 (SPY) — Indexed to 100 at Q1 2026 Earnings Date (April 22, 2026). Source: Yahoo Finance / Stock Price Data.</w:t>
      </w:r>
    </w:p>
    <w:p>
      <w:r>
        <w:rPr>
          <w:rFonts w:ascii="Calibri" w:hAnsi="Calibri"/>
          <w:color w:val="525866"/>
          <w:sz w:val="22"/>
        </w:rPr>
        <w:t>KMI peaked at $34.31 on May 19, 2026 (indexed: 107.9), driven by positive momentum following the Q1 beat and conference appearances, before pulling back to a trough of $30.85 on June 1, 2026 (indexed: 97.0) as the broader market digested macro uncertainty and natural gas prices softened. The stock has since recovered to ~$32.38 as of July 21, 2026. AMLP (Alerian MLP ETF, the relevant midstream sector benchmark) outperformed KMI throughout the period, reflecting broader midstream sector strength. The S&amp;P 500 also outperformed, suggesting KMI's relative underperformance is sector-specific rather than macro-driven. The stock's current valuation — trading near consensus price targets of ~$34.71 (average of 19 analysts) — implies limited multiple expansion is priced in, leaving the Q2 print as a potential catalyst if management can demonstrate the growth narrative is durable beyond weather events.</w:t>
      </w:r>
    </w:p>
    <w:p>
      <w:r>
        <w:rPr>
          <w:rFonts w:ascii="Calibri" w:hAnsi="Calibri"/>
          <w:b/>
          <w:color w:val="525866"/>
          <w:sz w:val="22"/>
        </w:rPr>
        <w:t xml:space="preserve">Analyst Ratings Summary (as of July 21, 2026): </w:t>
      </w:r>
      <w:r>
        <w:rPr>
          <w:rFonts w:ascii="Calibri" w:hAnsi="Calibri"/>
          <w:color w:val="525866"/>
          <w:sz w:val="22"/>
        </w:rPr>
        <w:t>19 analysts covering KMI; 8 Buy, 11 Hold, 0 Sell. Average 12-month price target: $34.71 (high: $43.00 UBS, low: $31.00). Notable post-Q1 actions: Wolfe Research downgraded to Hold (Apr 21); Zacks upgraded to Strong-Buy (Apr 28); Jefferies lowered target to $34 (Apr 23); Goldman Sachs reiterated Buy (Jun 10); UBS reiterated Buy with $43 target (Jun 15); Zacks downgraded back to Hold (Jun 23). Source: MarketBeat / Perplexity.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ongoing Middle East conflict (U.S.-Israel-Iran war) and resulting damage to Qatar's Ras Laffan LNG infrastructure, which management views as a structural multi-year positive for U.S. LNG demand and KMI's Gulf Coast pipeline network — this is the single biggest incremental positive for the Q2 print and beyond.</w:t>
      </w:r>
    </w:p>
    <w:p>
      <w:pPr>
        <w:pStyle w:val="ListBullet"/>
        <w:ind w:left="360" w:hanging="360"/>
      </w:pPr>
      <w:r>
        <w:rPr>
          <w:rFonts w:ascii="Calibri" w:hAnsi="Calibri"/>
          <w:b/>
          <w:color w:val="525866"/>
          <w:sz w:val="22"/>
        </w:rPr>
        <w:t>Apr 22, 2026 — Q1 2026 Earnings Beat &amp; Guidance Raise:</w:t>
      </w:r>
      <w:r>
        <w:rPr>
          <w:rFonts w:ascii="Calibri" w:hAnsi="Calibri"/>
          <w:color w:val="525866"/>
          <w:sz w:val="22"/>
        </w:rPr>
        <w:t xml:space="preserve"> KMI reported adjusted EPS up 41% YoY and EBITDA up 18% YoY, beating consensus by ~10.4% on EBITDA. FY2026 EBITDA guidance raised to &gt;3% above budget (&gt;$250M incremental). Monument Pipeline acquisition announced for ~$505M. Project backlog grew to $10.1B. Moody's upgrade to Baa1 completed BBB+ equivalency at all three agencies. Implication: Sets a high bar for Q2 but demonstrates operational momentum.</w:t>
      </w:r>
    </w:p>
    <w:p>
      <w:pPr>
        <w:pStyle w:val="ListBullet"/>
        <w:ind w:left="360" w:hanging="360"/>
      </w:pPr>
      <w:r>
        <w:rPr>
          <w:rFonts w:ascii="Calibri" w:hAnsi="Calibri"/>
          <w:b/>
          <w:color w:val="525866"/>
          <w:sz w:val="22"/>
        </w:rPr>
        <w:t>Apr 22, 2026 — Kenneth Grubb Named New COO:</w:t>
      </w:r>
      <w:r>
        <w:rPr>
          <w:rFonts w:ascii="Calibri" w:hAnsi="Calibri"/>
          <w:color w:val="525866"/>
          <w:sz w:val="22"/>
        </w:rPr>
        <w:t xml:space="preserve"> KMI announced Kenneth Grubb as new Chief Operating Officer, succeeding retiring James Holland. Implication: Leadership transition at COO level; management continuity risk is low given Grubb's internal promotion, but worth monitoring for any operational tone shift.</w:t>
      </w:r>
    </w:p>
    <w:p>
      <w:pPr>
        <w:pStyle w:val="ListBullet"/>
        <w:ind w:left="360" w:hanging="360"/>
      </w:pPr>
      <w:r>
        <w:rPr>
          <w:rFonts w:ascii="Calibri" w:hAnsi="Calibri"/>
          <w:b/>
          <w:color w:val="525866"/>
          <w:sz w:val="22"/>
        </w:rPr>
        <w:t>Apr 22, 2026 — Monument Pipeline Acquisition Announced (~$505M):</w:t>
      </w:r>
      <w:r>
        <w:rPr>
          <w:rFonts w:ascii="Calibri" w:hAnsi="Calibri"/>
          <w:color w:val="525866"/>
          <w:sz w:val="22"/>
        </w:rPr>
        <w:t xml:space="preserve"> Acquisition of ~225 miles of Houston-area natural gas pipeline with long-term take-or-pay contracts. Closed ahead of originally guided Q2 2026 timeline. Implication: Additive to Q2 EBITDA; management characterized it as an attractive tuck-in at a medium-term multiple below typical M&amp;A market pricing.</w:t>
      </w:r>
    </w:p>
    <w:p>
      <w:pPr>
        <w:pStyle w:val="ListBullet"/>
        <w:ind w:left="360" w:hanging="360"/>
      </w:pPr>
      <w:r>
        <w:rPr>
          <w:rFonts w:ascii="Calibri" w:hAnsi="Calibri"/>
          <w:b/>
          <w:color w:val="525866"/>
          <w:sz w:val="22"/>
        </w:rPr>
        <w:t>Apr 24, 2026 — Barclays Americas Select Conference Presentation:</w:t>
      </w:r>
      <w:r>
        <w:rPr>
          <w:rFonts w:ascii="Calibri" w:hAnsi="Calibri"/>
          <w:color w:val="525866"/>
          <w:sz w:val="22"/>
        </w:rPr>
        <w:t xml:space="preserve"> KMI scheduled to present at Barclays conference. Implication: Management had opportunity to update tone post-Q1; no guidance revision issued, suggesting confidence in raised outlook.</w:t>
      </w:r>
    </w:p>
    <w:p>
      <w:pPr>
        <w:pStyle w:val="ListBullet"/>
        <w:ind w:left="360" w:hanging="360"/>
      </w:pPr>
      <w:r>
        <w:rPr>
          <w:rFonts w:ascii="Calibri" w:hAnsi="Calibri"/>
          <w:b/>
          <w:color w:val="525866"/>
          <w:sz w:val="22"/>
        </w:rPr>
        <w:t>May 14, 2026 — Investor Conference Presentations:</w:t>
      </w:r>
      <w:r>
        <w:rPr>
          <w:rFonts w:ascii="Calibri" w:hAnsi="Calibri"/>
          <w:color w:val="525866"/>
          <w:sz w:val="22"/>
        </w:rPr>
        <w:t xml:space="preserve"> KMI announced presentations at upcoming investor conferences. No guidance revision issued. Implication: Management tone remained constructive; no negative pre-announcement.</w:t>
      </w:r>
    </w:p>
    <w:p>
      <w:pPr>
        <w:pStyle w:val="ListBullet"/>
        <w:ind w:left="360" w:hanging="360"/>
      </w:pPr>
      <w:r>
        <w:rPr>
          <w:rFonts w:ascii="Calibri" w:hAnsi="Calibri"/>
          <w:b/>
          <w:color w:val="525866"/>
          <w:sz w:val="22"/>
        </w:rPr>
        <w:t>May 19, 2026 — Annual Meeting: All Proposals Approved:</w:t>
      </w:r>
      <w:r>
        <w:rPr>
          <w:rFonts w:ascii="Calibri" w:hAnsi="Calibri"/>
          <w:color w:val="525866"/>
          <w:sz w:val="22"/>
        </w:rPr>
        <w:t xml:space="preserve"> KMI stockholders approved all annual meeting proposals. Implication: No governance disruption; routine.</w:t>
      </w:r>
    </w:p>
    <w:p>
      <w:pPr>
        <w:pStyle w:val="ListBullet"/>
        <w:ind w:left="360" w:hanging="360"/>
      </w:pPr>
      <w:r>
        <w:rPr>
          <w:rFonts w:ascii="Calibri" w:hAnsi="Calibri"/>
          <w:b/>
          <w:color w:val="525866"/>
          <w:sz w:val="22"/>
        </w:rPr>
        <w:t>Ongoing — U.S.-Israel-Iran War &amp; Qatar LNG Infrastructure Damage:</w:t>
      </w:r>
      <w:r>
        <w:rPr>
          <w:rFonts w:ascii="Calibri" w:hAnsi="Calibri"/>
          <w:color w:val="525866"/>
          <w:sz w:val="22"/>
        </w:rPr>
        <w:t xml:space="preserve"> Management cited damage to Qatar's Ras Laffan LNG facilities (estimated several Bcf/d of liquefaction capacity offline for multiple years) and Strait of Hormuz disruption as structural long-term positives for U.S. LNG demand. S&amp;P Global projects 153 GW of new gas-fired generation capacity additions. Implication: Strongest structural tailwind for KMI's LNG feed gas volumes on Tennessee Gas Pipeline; not yet fully reflected in near-term estimates.</w:t>
      </w:r>
    </w:p>
    <w:p>
      <w:pPr>
        <w:pStyle w:val="ListBullet"/>
        <w:ind w:left="360" w:hanging="360"/>
      </w:pPr>
      <w:r>
        <w:rPr>
          <w:rFonts w:ascii="Calibri" w:hAnsi="Calibri"/>
          <w:b/>
          <w:color w:val="525866"/>
          <w:sz w:val="22"/>
        </w:rPr>
        <w:t>Ongoing — SoftBank Ohio Data Center Consortium:</w:t>
      </w:r>
      <w:r>
        <w:rPr>
          <w:rFonts w:ascii="Calibri" w:hAnsi="Calibri"/>
          <w:color w:val="525866"/>
          <w:sz w:val="22"/>
        </w:rPr>
        <w:t xml:space="preserve"> KMI named as the only midstream company in SoftBank-led 9.2GW natural gas-powered AI data center project in Piketon, Ohio. No binding agreements signed; not in backlog. Implication: Potential significant long-term opportunity; optionality not priced in.</w:t>
      </w:r>
    </w:p>
    <w:p>
      <w:pPr>
        <w:pStyle w:val="ListBullet"/>
        <w:ind w:left="360" w:hanging="360"/>
      </w:pPr>
      <w:r>
        <w:rPr>
          <w:rFonts w:ascii="Calibri" w:hAnsi="Calibri"/>
          <w:b/>
          <w:color w:val="525866"/>
          <w:sz w:val="22"/>
        </w:rPr>
        <w:t>Ongoing — Permian Basin Egress Expansion:</w:t>
      </w:r>
      <w:r>
        <w:rPr>
          <w:rFonts w:ascii="Calibri" w:hAnsi="Calibri"/>
          <w:color w:val="525866"/>
          <w:sz w:val="22"/>
        </w:rPr>
        <w:t xml:space="preserve"> GCC expansion (~570 MMcf/d, compression-only) coming online Q2 2026; two additional Permian egress projects expected Q3 and Q4 2026. Implication: Alleviates Waha basis pressure over time; supports gathering volume growth in H2 2026.</w:t>
      </w:r>
    </w:p>
    <w:p>
      <w:pPr>
        <w:pStyle w:val="ListBullet"/>
        <w:ind w:left="360" w:hanging="360"/>
      </w:pPr>
      <w:r>
        <w:rPr>
          <w:rFonts w:ascii="Calibri" w:hAnsi="Calibri"/>
          <w:b/>
          <w:color w:val="525866"/>
          <w:sz w:val="22"/>
        </w:rPr>
        <w:t>Ongoing — Western Gateway Pipeline JV with Phillips 66:</w:t>
      </w:r>
      <w:r>
        <w:rPr>
          <w:rFonts w:ascii="Calibri" w:hAnsi="Calibri"/>
          <w:color w:val="525866"/>
          <w:sz w:val="22"/>
        </w:rPr>
        <w:t xml:space="preserve"> Second open season successfully closed; negotiating definitive JV agreement before FID; targeted completion mid-2029. Not yet in $10.1B backlog. Implication: Potential large addition to backlog upon FID.</w:t>
      </w:r>
    </w:p>
    <w:p>
      <w:pPr>
        <w:pStyle w:val="ListBullet"/>
        <w:ind w:left="360" w:hanging="360"/>
      </w:pPr>
      <w:r>
        <w:rPr>
          <w:rFonts w:ascii="Calibri" w:hAnsi="Calibri"/>
          <w:b/>
          <w:color w:val="525866"/>
          <w:sz w:val="22"/>
        </w:rPr>
        <w:t>Jun 15, 2026 — UBS Reiterates Buy, $43 Price Target:</w:t>
      </w:r>
      <w:r>
        <w:rPr>
          <w:rFonts w:ascii="Calibri" w:hAnsi="Calibri"/>
          <w:color w:val="525866"/>
          <w:sz w:val="22"/>
        </w:rPr>
        <w:t xml:space="preserve"> Highest price target on the Street, implying ~33% upside from current levels. Implication: Bullish outlier; reflects conviction in LNG and power demand growth story.</w:t>
      </w:r>
    </w:p>
    <w:p>
      <w:pPr>
        <w:pStyle w:val="ListBullet"/>
        <w:ind w:left="360" w:hanging="360"/>
      </w:pPr>
      <w:r>
        <w:rPr>
          <w:rFonts w:ascii="Calibri" w:hAnsi="Calibri"/>
          <w:b/>
          <w:color w:val="525866"/>
          <w:sz w:val="22"/>
        </w:rPr>
        <w:t>Jun 23, 2026 — Zacks Downgrades to Hold:</w:t>
      </w:r>
      <w:r>
        <w:rPr>
          <w:rFonts w:ascii="Calibri" w:hAnsi="Calibri"/>
          <w:color w:val="525866"/>
          <w:sz w:val="22"/>
        </w:rPr>
        <w:t xml:space="preserve"> After upgrading to Strong-Buy post-Q1, Zacks reversed to Hold. Implication: Modest negative sentiment signal; likely reflects near-term valuation concerns after the stock's May rally.</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All four major midstream peers (WMB, OKE, ET, TRGP) reported Q1 2026 results in late April/early May and provided Q2 2026 and full-year commentary that is broadly positive for KMI — the common themes are accelerating power/data center demand, strong LNG tailwinds from Middle East disruption, and Permian gathering volume growth, all of which are core KMI drivers; the one nuance is Permian Waha basis pressure causing producer shut-ins in Q2, which could modestly weigh on KMI's gathering segment.</w:t>
      </w:r>
    </w:p>
    <w:p>
      <w:r>
        <w:rPr>
          <w:rFonts w:ascii="Calibri" w:hAnsi="Calibri"/>
          <w:i/>
          <w:color w:val="525866"/>
          <w:sz w:val="22"/>
        </w:rPr>
        <w:t>Note: All peer commentary below is from Q1 2026 earnings calls (reported April–May 2026), which explicitly addressed Q2 2026 and full-year 2026 outlook. This is current-quarter forward-looking commentary, not prior-quarter retrospective. Sources: WMB Q1 2026 Earnings Call (May 5, 2026); OKE Q1 2026 Earnings Call (Apr 29, 2026); ET Q1 2026 Earnings Call (May 5, 2026); EPD Q1 2026 Earnings Call (Apr 28, 2026); TRGP Q1 2026 Earnings Call (May 7, 2026).</w:t>
      </w:r>
    </w:p>
    <w:p>
      <w:pPr>
        <w:pStyle w:val="Heading3"/>
      </w:pPr>
      <w:r>
        <w:rPr>
          <w:rFonts w:ascii="Calibri" w:hAnsi="Calibri"/>
          <w:b/>
          <w:color w:val="3B4259"/>
          <w:sz w:val="24"/>
        </w:rPr>
        <w:t>Williams Companies (WMB) — Q1 2026 Earnings Call (May 5, 2026)</w:t>
      </w:r>
    </w:p>
    <w:p>
      <w:r>
        <w:rPr>
          <w:rFonts w:ascii="Calibri" w:hAnsi="Calibri"/>
          <w:b/>
          <w:color w:val="525866"/>
          <w:sz w:val="22"/>
        </w:rPr>
        <w:t xml:space="preserve">Read-Through Signal: </w:t>
      </w:r>
      <w:r>
        <w:rPr>
          <w:rFonts w:ascii="Calibri" w:hAnsi="Calibri"/>
          <w:b/>
          <w:color w:val="30A46C"/>
          <w:sz w:val="22"/>
        </w:rPr>
        <w:t>Strongly positive for KMI's natural gas transport and LNG feed gas volumes.</w:t>
      </w:r>
    </w:p>
    <w:p>
      <w:pPr>
        <w:pStyle w:val="ListBullet"/>
        <w:ind w:left="360" w:hanging="360"/>
      </w:pPr>
      <w:r>
        <w:rPr>
          <w:rFonts w:ascii="Calibri" w:hAnsi="Calibri"/>
          <w:b/>
          <w:color w:val="525866"/>
          <w:sz w:val="22"/>
        </w:rPr>
        <w:t>Guidance raised to upper half of FY2026 adjusted EBITDA range</w:t>
      </w:r>
      <w:r>
        <w:rPr>
          <w:rFonts w:ascii="Calibri" w:hAnsi="Calibri"/>
          <w:color w:val="525866"/>
          <w:sz w:val="22"/>
        </w:rPr>
        <w:t xml:space="preserve">: WMB guided toward the upper half of its full-year adjusted EBITDA guidance following a record Q1 ($2.25B, +13% YoY). However, management explicitly flagged that </w:t>
      </w:r>
      <w:r>
        <w:rPr>
          <w:rFonts w:ascii="Calibri" w:hAnsi="Calibri"/>
          <w:b/>
          <w:color w:val="525866"/>
          <w:sz w:val="22"/>
        </w:rPr>
        <w:t>Q2 2026 will be seasonally lower before sequential growth resumes in H2</w:t>
      </w:r>
      <w:r>
        <w:rPr>
          <w:rFonts w:ascii="Calibri" w:hAnsi="Calibri"/>
          <w:color w:val="525866"/>
          <w:sz w:val="22"/>
        </w:rPr>
        <w:t xml:space="preserve"> — a direct read-through for KMI's Q2 seasonal step-down.</w:t>
      </w:r>
    </w:p>
    <w:p>
      <w:pPr>
        <w:pStyle w:val="ListBullet"/>
        <w:ind w:left="360" w:hanging="360"/>
      </w:pPr>
      <w:r>
        <w:rPr>
          <w:rFonts w:ascii="Calibri" w:hAnsi="Calibri"/>
          <w:b/>
          <w:color w:val="525866"/>
          <w:sz w:val="22"/>
        </w:rPr>
        <w:t>Power demand and data center backlog accelerating:</w:t>
      </w:r>
      <w:r>
        <w:rPr>
          <w:rFonts w:ascii="Calibri" w:hAnsi="Calibri"/>
          <w:color w:val="525866"/>
          <w:sz w:val="22"/>
        </w:rPr>
        <w:t xml:space="preserve"> WMB announced three new major projects: Neo (682 MW behind-the-meter hyperscaler project, $2.3B investment, 5x build multiple, H2 2028 in-service), Atlas (164 MMcf/d pipeline for data center backup in Northeast, &lt;$50M CapEx, in-service end-2026), and Silver Spur (275 MMcf/d Northwest pipeline expansion, early 2030). Growth CapEx midpoint raised to $7.3B. WMB's data center backlog is described as "robust, if not more so than at Analyst Day." </w:t>
      </w:r>
      <w:r>
        <w:rPr>
          <w:rFonts w:ascii="Calibri" w:hAnsi="Calibri"/>
          <w:b/>
          <w:color w:val="525866"/>
          <w:sz w:val="22"/>
        </w:rPr>
        <w:t>Read-through: Confirms accelerating power/data center demand for natural gas infrastructure — directly supports KMI's $10B+ backlog thesis and SoftBank Ohio opportunity.</w:t>
      </w:r>
    </w:p>
    <w:p>
      <w:pPr>
        <w:pStyle w:val="ListBullet"/>
        <w:ind w:left="360" w:hanging="360"/>
      </w:pPr>
      <w:r>
        <w:rPr>
          <w:rFonts w:ascii="Calibri" w:hAnsi="Calibri"/>
          <w:b/>
          <w:color w:val="525866"/>
          <w:sz w:val="22"/>
        </w:rPr>
        <w:t>Haynesville as primary LNG supply basin:</w:t>
      </w:r>
      <w:r>
        <w:rPr>
          <w:rFonts w:ascii="Calibri" w:hAnsi="Calibri"/>
          <w:color w:val="525866"/>
          <w:sz w:val="22"/>
        </w:rPr>
        <w:t xml:space="preserve"> WMB described Haynesville as "the most responsive gas basin in the U.S. to meet the ramping LNG demand," with rig counts up and DUCs building. Louisiana Energy Gateway Pipeline delivered a full quarter of service. </w:t>
      </w:r>
      <w:r>
        <w:rPr>
          <w:rFonts w:ascii="Calibri" w:hAnsi="Calibri"/>
          <w:b/>
          <w:color w:val="525866"/>
          <w:sz w:val="22"/>
        </w:rPr>
        <w:t>Read-through: Positive for KMI's KinderHawk Haynesville gathering volumes, which were up 34% YoY in Q1 2026.</w:t>
      </w:r>
    </w:p>
    <w:p>
      <w:pPr>
        <w:pStyle w:val="ListBullet"/>
        <w:ind w:left="360" w:hanging="360"/>
      </w:pPr>
      <w:r>
        <w:rPr>
          <w:rFonts w:ascii="Calibri" w:hAnsi="Calibri"/>
          <w:b/>
          <w:color w:val="525866"/>
          <w:sz w:val="22"/>
        </w:rPr>
        <w:t>Geopolitical tailwinds reinforcing U.S. LNG positioning:</w:t>
      </w:r>
      <w:r>
        <w:rPr>
          <w:rFonts w:ascii="Calibri" w:hAnsi="Calibri"/>
          <w:color w:val="525866"/>
          <w:sz w:val="22"/>
        </w:rPr>
        <w:t xml:space="preserve"> WMB cited geopolitical events as "further reinforcing the need for the U.S. to be a reliable supplier of LNG." Woodside LNG project on track for 2029 first cargo. </w:t>
      </w:r>
      <w:r>
        <w:rPr>
          <w:rFonts w:ascii="Calibri" w:hAnsi="Calibri"/>
          <w:b/>
          <w:color w:val="525866"/>
          <w:sz w:val="22"/>
        </w:rPr>
        <w:t>Read-through: Consistent with KMI management's view that Qatar LNG damage is a structural multi-year positive for U.S. LNG feed gas demand.</w:t>
      </w:r>
    </w:p>
    <w:p>
      <w:pPr>
        <w:pStyle w:val="ListBullet"/>
        <w:ind w:left="360" w:hanging="360"/>
      </w:pPr>
      <w:r>
        <w:rPr>
          <w:rFonts w:ascii="Calibri" w:hAnsi="Calibri"/>
          <w:b/>
          <w:color w:val="525866"/>
          <w:sz w:val="22"/>
        </w:rPr>
        <w:t>Transco Power Express upsized to 750 MMcf/d:</w:t>
      </w:r>
      <w:r>
        <w:rPr>
          <w:rFonts w:ascii="Calibri" w:hAnsi="Calibri"/>
          <w:color w:val="525866"/>
          <w:sz w:val="22"/>
        </w:rPr>
        <w:t xml:space="preserve"> Upsized in response to "continually growing need for natural gas to power data centers and market growth in Virginia." Transco business grew ~10% YoY. </w:t>
      </w:r>
      <w:r>
        <w:rPr>
          <w:rFonts w:ascii="Calibri" w:hAnsi="Calibri"/>
          <w:b/>
          <w:color w:val="525866"/>
          <w:sz w:val="22"/>
        </w:rPr>
        <w:t>Read-through: Validates the scale of power demand growth that KMI's Tennessee Gas Pipeline and South System 4 are positioned to serve.</w:t>
      </w:r>
    </w:p>
    <w:p>
      <w:pPr>
        <w:pStyle w:val="Heading3"/>
      </w:pPr>
      <w:r>
        <w:rPr>
          <w:rFonts w:ascii="Calibri" w:hAnsi="Calibri"/>
          <w:b/>
          <w:color w:val="3B4259"/>
          <w:sz w:val="24"/>
        </w:rPr>
        <w:t>ONEOK (OKE) — Q1 2026 Earnings Call (April 29, 2026)</w:t>
      </w:r>
    </w:p>
    <w:p>
      <w:r>
        <w:rPr>
          <w:rFonts w:ascii="Calibri" w:hAnsi="Calibri"/>
          <w:b/>
          <w:color w:val="525866"/>
          <w:sz w:val="22"/>
        </w:rPr>
        <w:t xml:space="preserve">Read-Through Signal: </w:t>
      </w:r>
      <w:r>
        <w:rPr>
          <w:rFonts w:ascii="Calibri" w:hAnsi="Calibri"/>
          <w:b/>
          <w:color w:val="30A46C"/>
          <w:sz w:val="22"/>
        </w:rPr>
        <w:t>Positive for KMI's natural gas transport and gathering volumes; mixed on Permian Waha basis.</w:t>
      </w:r>
    </w:p>
    <w:p>
      <w:pPr>
        <w:pStyle w:val="ListBullet"/>
        <w:ind w:left="360" w:hanging="360"/>
      </w:pPr>
      <w:r>
        <w:rPr>
          <w:rFonts w:ascii="Calibri" w:hAnsi="Calibri"/>
          <w:b/>
          <w:color w:val="525866"/>
          <w:sz w:val="22"/>
        </w:rPr>
        <w:t>FY2026 EBITDA guidance raised to $8.25B midpoint:</w:t>
      </w:r>
      <w:r>
        <w:rPr>
          <w:rFonts w:ascii="Calibri" w:hAnsi="Calibri"/>
          <w:color w:val="525866"/>
          <w:sz w:val="22"/>
        </w:rPr>
        <w:t xml:space="preserve"> OKE raised adjusted EBITDA guidance midpoint to $8.25B (+$300M vs. prior), driven by stronger volume expectations, higher commodity prices, and continued differential opportunities. Management expects Q1 to be the lowest EBITDA quarter of the year. </w:t>
      </w:r>
      <w:r>
        <w:rPr>
          <w:rFonts w:ascii="Calibri" w:hAnsi="Calibri"/>
          <w:b/>
          <w:color w:val="525866"/>
          <w:sz w:val="22"/>
        </w:rPr>
        <w:t>Read-through: Consistent with KMI's seasonal pattern — Q2 should be a step-up from Q1 for OKE, but KMI's Q2 faces a tougher comp given the weather-driven Q1 blowout.</w:t>
      </w:r>
    </w:p>
    <w:p>
      <w:pPr>
        <w:pStyle w:val="ListBullet"/>
        <w:ind w:left="360" w:hanging="360"/>
      </w:pPr>
      <w:r>
        <w:rPr>
          <w:rFonts w:ascii="Calibri" w:hAnsi="Calibri"/>
          <w:b/>
          <w:color w:val="525866"/>
          <w:sz w:val="22"/>
        </w:rPr>
        <w:t>Data center demand scaling rapidly:</w:t>
      </w:r>
      <w:r>
        <w:rPr>
          <w:rFonts w:ascii="Calibri" w:hAnsi="Calibri"/>
          <w:color w:val="525866"/>
          <w:sz w:val="22"/>
        </w:rPr>
        <w:t xml:space="preserve"> OKE described data center opportunities in Oklahoma and Texas as evolving from "short lays, smaller volumes" to projects requiring "larger pipelines reaching further back into ONEOK's systems" — projects initially estimated at ~$50M are now "$400M to $700M projects." </w:t>
      </w:r>
      <w:r>
        <w:rPr>
          <w:rFonts w:ascii="Calibri" w:hAnsi="Calibri"/>
          <w:b/>
          <w:color w:val="525866"/>
          <w:sz w:val="22"/>
        </w:rPr>
        <w:t>Read-through: Validates KMI's thesis that data center demand is a large and growing opportunity for midstream infrastructure, supporting KMI's three new data center deals added to backlog in Q1 2026.</w:t>
      </w:r>
    </w:p>
    <w:p>
      <w:pPr>
        <w:pStyle w:val="ListBullet"/>
        <w:ind w:left="360" w:hanging="360"/>
      </w:pPr>
      <w:r>
        <w:rPr>
          <w:rFonts w:ascii="Calibri" w:hAnsi="Calibri"/>
          <w:b/>
          <w:color w:val="525866"/>
          <w:sz w:val="22"/>
        </w:rPr>
        <w:t>LNG demand structurally positive:</w:t>
      </w:r>
      <w:r>
        <w:rPr>
          <w:rFonts w:ascii="Calibri" w:hAnsi="Calibri"/>
          <w:color w:val="525866"/>
          <w:sz w:val="22"/>
        </w:rPr>
        <w:t xml:space="preserve"> OKE CEO Pierce Norton noted LNG export capacity is projected to grow from 18 Bcf to 30 Bcf by 2030, and that Qatar LNG facility damage means "incremental capacity expansions are likely to land in the United States." </w:t>
      </w:r>
      <w:r>
        <w:rPr>
          <w:rFonts w:ascii="Calibri" w:hAnsi="Calibri"/>
          <w:b/>
          <w:color w:val="525866"/>
          <w:sz w:val="22"/>
        </w:rPr>
        <w:t>Read-through: Directly supports KMI's LNG feed gas volumes on Tennessee Gas Pipeline and the long-term demand outlook for KMI's Gulf Coast infrastructure.</w:t>
      </w:r>
    </w:p>
    <w:p>
      <w:pPr>
        <w:pStyle w:val="ListBullet"/>
        <w:ind w:left="360" w:hanging="360"/>
      </w:pPr>
      <w:r>
        <w:rPr>
          <w:rFonts w:ascii="Calibri" w:hAnsi="Calibri"/>
          <w:b/>
          <w:color w:val="525866"/>
          <w:sz w:val="22"/>
        </w:rPr>
        <w:t>Waha-to-Katy differentials expected to normalize in H2:</w:t>
      </w:r>
      <w:r>
        <w:rPr>
          <w:rFonts w:ascii="Calibri" w:hAnsi="Calibri"/>
          <w:color w:val="525866"/>
          <w:sz w:val="22"/>
        </w:rPr>
        <w:t xml:space="preserve"> OKE flagged that wider-than-planned Waha to Katy differentials benefited Q1 but are "expected to normalize as new pipeline egress comes online in the second half of the year." </w:t>
      </w:r>
      <w:r>
        <w:rPr>
          <w:rFonts w:ascii="Calibri" w:hAnsi="Calibri"/>
          <w:b/>
          <w:color w:val="525866"/>
          <w:sz w:val="22"/>
        </w:rPr>
        <w:t>Read-through: Modest negative for KMI's Permian-related gathering and transport optimization revenues in Q2; however, KMI's predominantly take-or-pay structure limits direct exposure.</w:t>
      </w:r>
    </w:p>
    <w:p>
      <w:pPr>
        <w:pStyle w:val="ListBullet"/>
        <w:ind w:left="360" w:hanging="360"/>
      </w:pPr>
      <w:r>
        <w:rPr>
          <w:rFonts w:ascii="Calibri" w:hAnsi="Calibri"/>
          <w:b/>
          <w:color w:val="525866"/>
          <w:sz w:val="22"/>
        </w:rPr>
        <w:t>Producer activity disciplined but accelerating completions:</w:t>
      </w:r>
      <w:r>
        <w:rPr>
          <w:rFonts w:ascii="Calibri" w:hAnsi="Calibri"/>
          <w:color w:val="525866"/>
          <w:sz w:val="22"/>
        </w:rPr>
        <w:t xml:space="preserve"> OKE noted producer behavior remains disciplined, but there is "an acceleration in completion activity" driven by DUC inventories. Private operators showing more activity than large integrated companies. </w:t>
      </w:r>
      <w:r>
        <w:rPr>
          <w:rFonts w:ascii="Calibri" w:hAnsi="Calibri"/>
          <w:b/>
          <w:color w:val="525866"/>
          <w:sz w:val="22"/>
        </w:rPr>
        <w:t>Read-through: Supports KMI's Haynesville and Permian gathering volume growth outlook for H2 2026.</w:t>
      </w:r>
    </w:p>
    <w:p>
      <w:pPr>
        <w:pStyle w:val="Heading3"/>
      </w:pPr>
      <w:r>
        <w:rPr>
          <w:rFonts w:ascii="Calibri" w:hAnsi="Calibri"/>
          <w:b/>
          <w:color w:val="3B4259"/>
          <w:sz w:val="24"/>
        </w:rPr>
        <w:t>Energy Transfer (ET) — Q1 2026 Earnings Call (May 5, 2026)</w:t>
      </w:r>
    </w:p>
    <w:p>
      <w:r>
        <w:rPr>
          <w:rFonts w:ascii="Calibri" w:hAnsi="Calibri"/>
          <w:b/>
          <w:color w:val="525866"/>
          <w:sz w:val="22"/>
        </w:rPr>
        <w:t xml:space="preserve">Read-Through Signal: </w:t>
      </w:r>
      <w:r>
        <w:rPr>
          <w:rFonts w:ascii="Calibri" w:hAnsi="Calibri"/>
          <w:b/>
          <w:color w:val="30A46C"/>
          <w:sz w:val="22"/>
        </w:rPr>
        <w:t>Strongly positive for KMI's natural gas transport, LNG, and data center demand themes.</w:t>
      </w:r>
    </w:p>
    <w:p>
      <w:pPr>
        <w:pStyle w:val="ListBullet"/>
        <w:ind w:left="360" w:hanging="360"/>
      </w:pPr>
      <w:r>
        <w:rPr>
          <w:rFonts w:ascii="Calibri" w:hAnsi="Calibri"/>
          <w:b/>
          <w:color w:val="525866"/>
          <w:sz w:val="22"/>
        </w:rPr>
        <w:t>FY2026 EBITDA guidance raised to $18.2–$18.6B:</w:t>
      </w:r>
      <w:r>
        <w:rPr>
          <w:rFonts w:ascii="Calibri" w:hAnsi="Calibri"/>
          <w:color w:val="525866"/>
          <w:sz w:val="22"/>
        </w:rPr>
        <w:t xml:space="preserve"> ET raised guidance by ~$750M at the midpoint, including a ~$500M Q1 beat and expectations for continued outperformance. Management expects to achieve or exceed the high end of the range if commodity prices remain near current levels. </w:t>
      </w:r>
      <w:r>
        <w:rPr>
          <w:rFonts w:ascii="Calibri" w:hAnsi="Calibri"/>
          <w:b/>
          <w:color w:val="525866"/>
          <w:sz w:val="22"/>
        </w:rPr>
        <w:t>Read-through: Broad-based midstream outperformance in Q1 2026 is a positive signal for KMI's Q2 setup.</w:t>
      </w:r>
    </w:p>
    <w:p>
      <w:pPr>
        <w:pStyle w:val="ListBullet"/>
        <w:ind w:left="360" w:hanging="360"/>
      </w:pPr>
      <w:r>
        <w:rPr>
          <w:rFonts w:ascii="Calibri" w:hAnsi="Calibri"/>
          <w:b/>
          <w:color w:val="525866"/>
          <w:sz w:val="22"/>
        </w:rPr>
        <w:t>Record midstream gathering volumes in Q1:</w:t>
      </w:r>
      <w:r>
        <w:rPr>
          <w:rFonts w:ascii="Calibri" w:hAnsi="Calibri"/>
          <w:color w:val="525866"/>
          <w:sz w:val="22"/>
        </w:rPr>
        <w:t xml:space="preserve"> ET reported record midstream gathering volumes, NGL fractionation volumes, NGL export volumes, and crude oil transportation volumes in Q1 2026. Permian volumes up 8% YoY. Haynesville projected to add ~800,000 Mcf of growth by August/September. </w:t>
      </w:r>
      <w:r>
        <w:rPr>
          <w:rFonts w:ascii="Calibri" w:hAnsi="Calibri"/>
          <w:b/>
          <w:color w:val="525866"/>
          <w:sz w:val="22"/>
        </w:rPr>
        <w:t>Read-through: Haynesville growth trajectory is directly positive for KMI's KinderHawk gathering system.</w:t>
      </w:r>
    </w:p>
    <w:p>
      <w:pPr>
        <w:pStyle w:val="ListBullet"/>
        <w:ind w:left="360" w:hanging="360"/>
      </w:pPr>
      <w:r>
        <w:rPr>
          <w:rFonts w:ascii="Calibri" w:hAnsi="Calibri"/>
          <w:b/>
          <w:color w:val="525866"/>
          <w:sz w:val="22"/>
        </w:rPr>
        <w:t>Data center demand: Nexus Hubbard Campus and Arkansas LOI:</w:t>
      </w:r>
      <w:r>
        <w:rPr>
          <w:rFonts w:ascii="Calibri" w:hAnsi="Calibri"/>
          <w:color w:val="525866"/>
          <w:sz w:val="22"/>
        </w:rPr>
        <w:t xml:space="preserve"> ET signed agreements to provide ~150 MMcf/d to the Nexus Hubbard AI hyperscale campus in Central Texas (in-service end-2026, costs fully reimbursed) and an LOI for ~150 MMcf/d to an Arkansas data center (in-service mid-2027). Oklahoma power connections adding ~300 MMcf/d of new gas supply. </w:t>
      </w:r>
      <w:r>
        <w:rPr>
          <w:rFonts w:ascii="Calibri" w:hAnsi="Calibri"/>
          <w:b/>
          <w:color w:val="525866"/>
          <w:sz w:val="22"/>
        </w:rPr>
        <w:t>Read-through: Confirms the data center/power generation demand wave is real and accelerating across multiple geographies — supports KMI's three new data center backlog additions in Q1 2026.</w:t>
      </w:r>
    </w:p>
    <w:p>
      <w:pPr>
        <w:pStyle w:val="ListBullet"/>
        <w:ind w:left="360" w:hanging="360"/>
      </w:pPr>
      <w:r>
        <w:rPr>
          <w:rFonts w:ascii="Calibri" w:hAnsi="Calibri"/>
          <w:b/>
          <w:color w:val="525866"/>
          <w:sz w:val="22"/>
        </w:rPr>
        <w:t>Global energy redirection to U.S. is a clear theme:</w:t>
      </w:r>
      <w:r>
        <w:rPr>
          <w:rFonts w:ascii="Calibri" w:hAnsi="Calibri"/>
          <w:color w:val="525866"/>
          <w:sz w:val="22"/>
        </w:rPr>
        <w:t xml:space="preserve"> ET management stated: "What's been going on in the world, there's a very clear redirection to the U.S. for all products, LNG, NGLs, oil, etc." Expects "longer terms and stronger margins as time goes on as everybody leans on the U.S. for supply." </w:t>
      </w:r>
      <w:r>
        <w:rPr>
          <w:rFonts w:ascii="Calibri" w:hAnsi="Calibri"/>
          <w:b/>
          <w:color w:val="525866"/>
          <w:sz w:val="22"/>
        </w:rPr>
        <w:t>Read-through: Directly validates KMI's LNG feed gas positioning and the structural demand shift management highlighted on the Q1 call.</w:t>
      </w:r>
    </w:p>
    <w:p>
      <w:pPr>
        <w:pStyle w:val="ListBullet"/>
        <w:ind w:left="360" w:hanging="360"/>
      </w:pPr>
      <w:r>
        <w:rPr>
          <w:rFonts w:ascii="Calibri" w:hAnsi="Calibri"/>
          <w:b/>
          <w:color w:val="525866"/>
          <w:sz w:val="22"/>
        </w:rPr>
        <w:t>Permian bottleneck opening up by end-2026/early 2027:</w:t>
      </w:r>
      <w:r>
        <w:rPr>
          <w:rFonts w:ascii="Calibri" w:hAnsi="Calibri"/>
          <w:color w:val="525866"/>
          <w:sz w:val="22"/>
        </w:rPr>
        <w:t xml:space="preserve"> ET acknowledged current Permian bottlenecks but expects them to "open up by the end of this year, first part of next year," providing "enormous opportunities for producers to drill." Hugh Brinson Pipeline Phase 1 expected in-service Q4 2026 (with potential early gas flow in Q3). </w:t>
      </w:r>
      <w:r>
        <w:rPr>
          <w:rFonts w:ascii="Calibri" w:hAnsi="Calibri"/>
          <w:b/>
          <w:color w:val="525866"/>
          <w:sz w:val="22"/>
        </w:rPr>
        <w:t>Read-through: Permian egress relief in H2 2026 is positive for KMI's Texas Intrastate and Trident pipeline volumes in 2027.</w:t>
      </w:r>
    </w:p>
    <w:p>
      <w:pPr>
        <w:pStyle w:val="Heading3"/>
      </w:pPr>
      <w:r>
        <w:rPr>
          <w:rFonts w:ascii="Calibri" w:hAnsi="Calibri"/>
          <w:b/>
          <w:color w:val="3B4259"/>
          <w:sz w:val="24"/>
        </w:rPr>
        <w:t>Enterprise Products Partners (EPD) — Q1 2026 Earnings Call (April 28, 2026)</w:t>
      </w:r>
    </w:p>
    <w:p>
      <w:r>
        <w:rPr>
          <w:rFonts w:ascii="Calibri" w:hAnsi="Calibri"/>
          <w:b/>
          <w:color w:val="525866"/>
          <w:sz w:val="22"/>
        </w:rPr>
        <w:t xml:space="preserve">Read-Through Signal: </w:t>
      </w:r>
      <w:r>
        <w:rPr>
          <w:rFonts w:ascii="Calibri" w:hAnsi="Calibri"/>
          <w:b/>
          <w:color w:val="30A46C"/>
          <w:sz w:val="22"/>
        </w:rPr>
        <w:t>Positive for KMI's terminal and LNG-adjacent businesses; less direct read-through on natural gas transport.</w:t>
      </w:r>
    </w:p>
    <w:p>
      <w:pPr>
        <w:pStyle w:val="ListBullet"/>
        <w:ind w:left="360" w:hanging="360"/>
      </w:pPr>
      <w:r>
        <w:rPr>
          <w:rFonts w:ascii="Calibri" w:hAnsi="Calibri"/>
          <w:b/>
          <w:color w:val="525866"/>
          <w:sz w:val="22"/>
        </w:rPr>
        <w:t>Q1 2026 EBITDA of $2.7B, up 10% YoY; 12 new volumetric records:</w:t>
      </w:r>
      <w:r>
        <w:rPr>
          <w:rFonts w:ascii="Calibri" w:hAnsi="Calibri"/>
          <w:color w:val="525866"/>
          <w:sz w:val="22"/>
        </w:rPr>
        <w:t xml:space="preserve"> EPD described 2026 as "shaping up to be a much more favorable year than initially expected." Management believes financial markets are "underestimating the potential global supply implications from a prolonged closure of the Strait of Hormuz." </w:t>
      </w:r>
      <w:r>
        <w:rPr>
          <w:rFonts w:ascii="Calibri" w:hAnsi="Calibri"/>
          <w:b/>
          <w:color w:val="525866"/>
          <w:sz w:val="22"/>
        </w:rPr>
        <w:t>Read-through: Broad midstream outperformance in Q1 is a positive signal; EPD's terminal and export business strength is a read-through for KMI's Terminals segment.</w:t>
      </w:r>
    </w:p>
    <w:p>
      <w:pPr>
        <w:pStyle w:val="ListBullet"/>
        <w:ind w:left="360" w:hanging="360"/>
      </w:pPr>
      <w:r>
        <w:rPr>
          <w:rFonts w:ascii="Calibri" w:hAnsi="Calibri"/>
          <w:b/>
          <w:color w:val="525866"/>
          <w:sz w:val="22"/>
        </w:rPr>
        <w:t>Middle East conflict driving outsized U.S. energy demand:</w:t>
      </w:r>
      <w:r>
        <w:rPr>
          <w:rFonts w:ascii="Calibri" w:hAnsi="Calibri"/>
          <w:color w:val="525866"/>
          <w:sz w:val="22"/>
        </w:rPr>
        <w:t xml:space="preserve"> EPD management estimated the Strait of Hormuz disruption has constrained 12–15 million barrels/day of crude, refined products, LPG, and petrochemicals — "almost 0.5 billion barrels of hydrocarbon supplies off the market every month." Expects "outsized spreads" of $500–$700M to materialize in Q2. </w:t>
      </w:r>
      <w:r>
        <w:rPr>
          <w:rFonts w:ascii="Calibri" w:hAnsi="Calibri"/>
          <w:b/>
          <w:color w:val="525866"/>
          <w:sz w:val="22"/>
        </w:rPr>
        <w:t>Read-through: KMI's Houston Ship Channel terminal docks were described as "very busy" with record export volumes in Q1; this dynamic likely continued into Q2.</w:t>
      </w:r>
    </w:p>
    <w:p>
      <w:pPr>
        <w:pStyle w:val="ListBullet"/>
        <w:ind w:left="360" w:hanging="360"/>
      </w:pPr>
      <w:r>
        <w:rPr>
          <w:rFonts w:ascii="Calibri" w:hAnsi="Calibri"/>
          <w:b/>
          <w:color w:val="525866"/>
          <w:sz w:val="22"/>
        </w:rPr>
        <w:t>Permian natural gas processing plant inlet volumes at record 8.3 Bcf/d (+7% YoY):</w:t>
      </w:r>
      <w:r>
        <w:rPr>
          <w:rFonts w:ascii="Calibri" w:hAnsi="Calibri"/>
          <w:color w:val="525866"/>
          <w:sz w:val="22"/>
        </w:rPr>
        <w:t xml:space="preserve"> Three Permian gas processing plants brought online over the past year were "essentially full by mid-quarter." EPD is trending toward building "2 per year" new Permian processing plants. </w:t>
      </w:r>
      <w:r>
        <w:rPr>
          <w:rFonts w:ascii="Calibri" w:hAnsi="Calibri"/>
          <w:b/>
          <w:color w:val="525866"/>
          <w:sz w:val="22"/>
        </w:rPr>
        <w:t>Read-through: Strong Permian gas production growth supports KMI's Permian gathering and Texas Intrastate volumes.</w:t>
      </w:r>
    </w:p>
    <w:p>
      <w:pPr>
        <w:pStyle w:val="ListBullet"/>
        <w:ind w:left="360" w:hanging="360"/>
      </w:pPr>
      <w:r>
        <w:rPr>
          <w:rFonts w:ascii="Calibri" w:hAnsi="Calibri"/>
          <w:b/>
          <w:color w:val="525866"/>
          <w:sz w:val="22"/>
        </w:rPr>
        <w:t>Forward market not accurately reflecting physical market strength:</w:t>
      </w:r>
      <w:r>
        <w:rPr>
          <w:rFonts w:ascii="Calibri" w:hAnsi="Calibri"/>
          <w:color w:val="525866"/>
          <w:sz w:val="22"/>
        </w:rPr>
        <w:t xml:space="preserve"> EPD management stated the futures market is "probably not high enough" and could "drift up over time." Expects strong international demand for U.S. energy to continue through 2026 and potentially into 2027. </w:t>
      </w:r>
      <w:r>
        <w:rPr>
          <w:rFonts w:ascii="Calibri" w:hAnsi="Calibri"/>
          <w:b/>
          <w:color w:val="525866"/>
          <w:sz w:val="22"/>
        </w:rPr>
        <w:t>Read-through: If commodity prices and spreads remain elevated, KMI's unhedged CO2 segment barrels (~10%) and terminal ancillary revenues could provide modest upside to Q2 estimates.</w:t>
      </w:r>
    </w:p>
    <w:p>
      <w:pPr>
        <w:pStyle w:val="Heading3"/>
      </w:pPr>
      <w:r>
        <w:rPr>
          <w:rFonts w:ascii="Calibri" w:hAnsi="Calibri"/>
          <w:b/>
          <w:color w:val="3B4259"/>
          <w:sz w:val="24"/>
        </w:rPr>
        <w:t>Targa Resources (TRGP) — Q1 2026 Earnings Call (May 7, 2026)</w:t>
      </w:r>
    </w:p>
    <w:p>
      <w:r>
        <w:rPr>
          <w:rFonts w:ascii="Calibri" w:hAnsi="Calibri"/>
          <w:b/>
          <w:color w:val="525866"/>
          <w:sz w:val="22"/>
        </w:rPr>
        <w:t xml:space="preserve">Read-Through Signal: </w:t>
      </w:r>
      <w:r>
        <w:rPr>
          <w:rFonts w:ascii="Calibri" w:hAnsi="Calibri"/>
          <w:b/>
          <w:color w:val="E5484D"/>
          <w:sz w:val="22"/>
        </w:rPr>
        <w:t>Mixed — positive on Permian volume growth trajectory and LPG export demand, but flags near-term Waha pressure and producer shut-ins as a Q2 headwind.</w:t>
      </w:r>
    </w:p>
    <w:p>
      <w:pPr>
        <w:pStyle w:val="ListBullet"/>
        <w:ind w:left="360" w:hanging="360"/>
      </w:pPr>
      <w:r>
        <w:rPr>
          <w:rFonts w:ascii="Calibri" w:hAnsi="Calibri"/>
          <w:b/>
          <w:color w:val="525866"/>
          <w:sz w:val="22"/>
        </w:rPr>
        <w:t>FY2026 EBITDA guidance raised to $5.7–$5.9B (midpoint +$300M):</w:t>
      </w:r>
      <w:r>
        <w:rPr>
          <w:rFonts w:ascii="Calibri" w:hAnsi="Calibri"/>
          <w:color w:val="525866"/>
          <w:sz w:val="22"/>
        </w:rPr>
        <w:t xml:space="preserve"> Targa raised guidance driven by higher Q1 EBITDA, natural gas marketing opportunities, and LPG export demand. Described as "another record year across multiple dimensions." </w:t>
      </w:r>
      <w:r>
        <w:rPr>
          <w:rFonts w:ascii="Calibri" w:hAnsi="Calibri"/>
          <w:b/>
          <w:color w:val="525866"/>
          <w:sz w:val="22"/>
        </w:rPr>
        <w:t>Read-through: Positive for midstream sector broadly; Permian volume growth is a shared tailwind.</w:t>
      </w:r>
    </w:p>
    <w:p>
      <w:pPr>
        <w:pStyle w:val="ListBullet"/>
        <w:ind w:left="360" w:hanging="360"/>
      </w:pPr>
      <w:r>
        <w:rPr>
          <w:rFonts w:ascii="Calibri" w:hAnsi="Calibri"/>
          <w:b/>
          <w:color w:val="525866"/>
          <w:sz w:val="22"/>
        </w:rPr>
        <w:t>Q2 2026 Permian volumes trending 250+ MMcf/d above Q1 average — but with 200–400 MMcf/d shut in:</w:t>
      </w:r>
      <w:r>
        <w:rPr>
          <w:rFonts w:ascii="Calibri" w:hAnsi="Calibri"/>
          <w:color w:val="525866"/>
          <w:sz w:val="22"/>
        </w:rPr>
        <w:t xml:space="preserve"> Targa flagged that despite strong underlying activity, producers are temporarily shutting in 200–400 MMcf/d of Permian gas on any given day due to weak Waha natural gas prices. "The Waha natural gas market is expected to remain tight through the year, ahead of incremental pipeline capacity." </w:t>
      </w:r>
      <w:r>
        <w:rPr>
          <w:rFonts w:ascii="Calibri" w:hAnsi="Calibri"/>
          <w:b/>
          <w:color w:val="525866"/>
          <w:sz w:val="22"/>
        </w:rPr>
        <w:t>Read-through: This is the most direct Q2 headwind for KMI's Permian gathering volumes. However, KMI's take-or-pay contract structure limits direct volume risk, and the GCC expansion coming online in Q2 should provide some relief.</w:t>
      </w:r>
    </w:p>
    <w:p>
      <w:pPr>
        <w:pStyle w:val="ListBullet"/>
        <w:ind w:left="360" w:hanging="360"/>
      </w:pPr>
      <w:r>
        <w:rPr>
          <w:rFonts w:ascii="Calibri" w:hAnsi="Calibri"/>
          <w:b/>
          <w:color w:val="525866"/>
          <w:sz w:val="22"/>
        </w:rPr>
        <w:t>Permian egress relief expected as 2026 exits:</w:t>
      </w:r>
      <w:r>
        <w:rPr>
          <w:rFonts w:ascii="Calibri" w:hAnsi="Calibri"/>
          <w:color w:val="525866"/>
          <w:sz w:val="22"/>
        </w:rPr>
        <w:t xml:space="preserve"> Blackcomb pipeline (TRGP equity interest) expected to provide egress relief in Q4 2026; Traverse enhances connectivity in mid-2027. "The Permian natural gas egress environment is projected to improve as the company exits 2026." </w:t>
      </w:r>
      <w:r>
        <w:rPr>
          <w:rFonts w:ascii="Calibri" w:hAnsi="Calibri"/>
          <w:b/>
          <w:color w:val="525866"/>
          <w:sz w:val="22"/>
        </w:rPr>
        <w:t>Read-through: Permian gathering volume growth for KMI is more of an H2 2026 and 2027 story; Q2 may see some softness.</w:t>
      </w:r>
    </w:p>
    <w:p>
      <w:pPr>
        <w:pStyle w:val="ListBullet"/>
        <w:ind w:left="360" w:hanging="360"/>
      </w:pPr>
      <w:r>
        <w:rPr>
          <w:rFonts w:ascii="Calibri" w:hAnsi="Calibri"/>
          <w:b/>
          <w:color w:val="525866"/>
          <w:sz w:val="22"/>
        </w:rPr>
        <w:t>LPG export demand surging; multi-year contracts being signed:</w:t>
      </w:r>
      <w:r>
        <w:rPr>
          <w:rFonts w:ascii="Calibri" w:hAnsi="Calibri"/>
          <w:color w:val="525866"/>
          <w:sz w:val="22"/>
        </w:rPr>
        <w:t xml:space="preserve"> Iran conflict driving additional call on butane; Targa seeing "increased interest in the U.S. LPG export market" with multi-year contract closures. LPG loadings averaged 13.1 MMbbl/month in Q1; record loadings expected in Q2. </w:t>
      </w:r>
      <w:r>
        <w:rPr>
          <w:rFonts w:ascii="Calibri" w:hAnsi="Calibri"/>
          <w:b/>
          <w:color w:val="525866"/>
          <w:sz w:val="22"/>
        </w:rPr>
        <w:t>Read-through: KMI's Houston Ship Channel terminal export docks are benefiting from the same dynamic; terminal segment should show continued strength in Q2.</w:t>
      </w:r>
    </w:p>
    <w:p>
      <w:pPr>
        <w:pStyle w:val="ListBullet"/>
        <w:ind w:left="360" w:hanging="360"/>
      </w:pPr>
      <w:r>
        <w:rPr>
          <w:rFonts w:ascii="Calibri" w:hAnsi="Calibri"/>
          <w:b/>
          <w:color w:val="525866"/>
          <w:sz w:val="22"/>
        </w:rPr>
        <w:t>Producer activity constructive; DUC completions accelerating:</w:t>
      </w:r>
      <w:r>
        <w:rPr>
          <w:rFonts w:ascii="Calibri" w:hAnsi="Calibri"/>
          <w:color w:val="525866"/>
          <w:sz w:val="22"/>
        </w:rPr>
        <w:t xml:space="preserve"> Targa expects producers to continue drilling with some delaying completions into H2 2026, leading to a "ramp-up in activity once sufficient egress is available." Low double-digit Permian volume growth estimate for 2026 maintained. </w:t>
      </w:r>
      <w:r>
        <w:rPr>
          <w:rFonts w:ascii="Calibri" w:hAnsi="Calibri"/>
          <w:b/>
          <w:color w:val="525866"/>
          <w:sz w:val="22"/>
        </w:rPr>
        <w:t>Read-through: Supports KMI's gathering volume growth outlook for H2 2026 and 2027.</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Theme</w:t>
            </w:r>
          </w:p>
        </w:tc>
        <w:tc>
          <w:tcPr>
            <w:tcW w:type="dxa" w:w="1234"/>
            <w:shd w:val="clear" w:color="auto" w:fill="3B4259"/>
          </w:tcPr>
          <w:p>
            <w:r>
              <w:rPr>
                <w:rFonts w:ascii="Calibri" w:hAnsi="Calibri"/>
                <w:b/>
                <w:color w:val="FFFFFF"/>
                <w:sz w:val="22"/>
              </w:rPr>
              <w:t>WMB</w:t>
            </w:r>
          </w:p>
        </w:tc>
        <w:tc>
          <w:tcPr>
            <w:tcW w:type="dxa" w:w="1234"/>
            <w:shd w:val="clear" w:color="auto" w:fill="3B4259"/>
          </w:tcPr>
          <w:p>
            <w:r>
              <w:rPr>
                <w:rFonts w:ascii="Calibri" w:hAnsi="Calibri"/>
                <w:b/>
                <w:color w:val="FFFFFF"/>
                <w:sz w:val="22"/>
              </w:rPr>
              <w:t>OKE</w:t>
            </w:r>
          </w:p>
        </w:tc>
        <w:tc>
          <w:tcPr>
            <w:tcW w:type="dxa" w:w="1234"/>
            <w:shd w:val="clear" w:color="auto" w:fill="3B4259"/>
          </w:tcPr>
          <w:p>
            <w:r>
              <w:rPr>
                <w:rFonts w:ascii="Calibri" w:hAnsi="Calibri"/>
                <w:b/>
                <w:color w:val="FFFFFF"/>
                <w:sz w:val="22"/>
              </w:rPr>
              <w:t>ET</w:t>
            </w:r>
          </w:p>
        </w:tc>
        <w:tc>
          <w:tcPr>
            <w:tcW w:type="dxa" w:w="1234"/>
            <w:shd w:val="clear" w:color="auto" w:fill="3B4259"/>
          </w:tcPr>
          <w:p>
            <w:r>
              <w:rPr>
                <w:rFonts w:ascii="Calibri" w:hAnsi="Calibri"/>
                <w:b/>
                <w:color w:val="FFFFFF"/>
                <w:sz w:val="22"/>
              </w:rPr>
              <w:t>EPD</w:t>
            </w:r>
          </w:p>
        </w:tc>
        <w:tc>
          <w:tcPr>
            <w:tcW w:type="dxa" w:w="1234"/>
            <w:shd w:val="clear" w:color="auto" w:fill="3B4259"/>
          </w:tcPr>
          <w:p>
            <w:r>
              <w:rPr>
                <w:rFonts w:ascii="Calibri" w:hAnsi="Calibri"/>
                <w:b/>
                <w:color w:val="FFFFFF"/>
                <w:sz w:val="22"/>
              </w:rPr>
              <w:t>TRGP</w:t>
            </w:r>
          </w:p>
        </w:tc>
        <w:tc>
          <w:tcPr>
            <w:tcW w:type="dxa" w:w="1234"/>
            <w:shd w:val="clear" w:color="auto" w:fill="3B4259"/>
          </w:tcPr>
          <w:p>
            <w:r>
              <w:rPr>
                <w:rFonts w:ascii="Calibri" w:hAnsi="Calibri"/>
                <w:b/>
                <w:color w:val="FFFFFF"/>
                <w:sz w:val="22"/>
              </w:rPr>
              <w:t>KMI Implication</w:t>
            </w:r>
          </w:p>
        </w:tc>
      </w:tr>
      <w:tr>
        <w:tc>
          <w:tcPr>
            <w:tcW w:type="dxa" w:w="1234"/>
          </w:tcPr>
          <w:p>
            <w:r>
              <w:rPr>
                <w:rFonts w:ascii="Calibri" w:hAnsi="Calibri"/>
                <w:sz w:val="22"/>
              </w:rPr>
              <w:t>Q2 Seasonal Step-Down</w:t>
            </w:r>
          </w:p>
        </w:tc>
        <w:tc>
          <w:tcPr>
            <w:tcW w:type="dxa" w:w="1234"/>
          </w:tcPr>
          <w:p>
            <w:r>
              <w:rPr>
                <w:rFonts w:ascii="Calibri" w:hAnsi="Calibri"/>
                <w:sz w:val="22"/>
              </w:rPr>
              <w:t>⚠️ Flagged</w:t>
            </w:r>
          </w:p>
        </w:tc>
        <w:tc>
          <w:tcPr>
            <w:tcW w:type="dxa" w:w="1234"/>
          </w:tcPr>
          <w:p>
            <w:r>
              <w:rPr>
                <w:rFonts w:ascii="Calibri" w:hAnsi="Calibri"/>
                <w:sz w:val="22"/>
              </w:rPr>
              <w:t>⚠️ Q1 = lowest quarter</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Consensus already reflects seasonal step-down; bar is achievable</w:t>
            </w:r>
          </w:p>
        </w:tc>
      </w:tr>
      <w:tr>
        <w:tc>
          <w:tcPr>
            <w:tcW w:type="dxa" w:w="1234"/>
          </w:tcPr>
          <w:p>
            <w:r>
              <w:rPr>
                <w:rFonts w:ascii="Calibri" w:hAnsi="Calibri"/>
                <w:sz w:val="22"/>
              </w:rPr>
              <w:t>LNG / U.S. Energy Demand (Middle East)</w:t>
            </w:r>
          </w:p>
        </w:tc>
        <w:tc>
          <w:tcPr>
            <w:tcW w:type="dxa" w:w="1234"/>
          </w:tcPr>
          <w:p>
            <w:r>
              <w:rPr>
                <w:rFonts w:ascii="Calibri" w:hAnsi="Calibri"/>
                <w:sz w:val="22"/>
              </w:rPr>
              <w:t>✅ Positive</w:t>
            </w:r>
          </w:p>
        </w:tc>
        <w:tc>
          <w:tcPr>
            <w:tcW w:type="dxa" w:w="1234"/>
          </w:tcPr>
          <w:p>
            <w:r>
              <w:rPr>
                <w:rFonts w:ascii="Calibri" w:hAnsi="Calibri"/>
                <w:sz w:val="22"/>
              </w:rPr>
              <w:t>✅ Positive</w:t>
            </w:r>
          </w:p>
        </w:tc>
        <w:tc>
          <w:tcPr>
            <w:tcW w:type="dxa" w:w="1234"/>
          </w:tcPr>
          <w:p>
            <w:r>
              <w:rPr>
                <w:rFonts w:ascii="Calibri" w:hAnsi="Calibri"/>
                <w:sz w:val="22"/>
              </w:rPr>
              <w:t>✅ Strongly Positive</w:t>
            </w:r>
          </w:p>
        </w:tc>
        <w:tc>
          <w:tcPr>
            <w:tcW w:type="dxa" w:w="1234"/>
          </w:tcPr>
          <w:p>
            <w:r>
              <w:rPr>
                <w:rFonts w:ascii="Calibri" w:hAnsi="Calibri"/>
                <w:sz w:val="22"/>
              </w:rPr>
              <w:t>✅ Positive</w:t>
            </w:r>
          </w:p>
        </w:tc>
        <w:tc>
          <w:tcPr>
            <w:tcW w:type="dxa" w:w="1234"/>
          </w:tcPr>
          <w:p>
            <w:r>
              <w:rPr>
                <w:rFonts w:ascii="Calibri" w:hAnsi="Calibri"/>
                <w:sz w:val="22"/>
              </w:rPr>
              <w:t>✅ Positive</w:t>
            </w:r>
          </w:p>
        </w:tc>
        <w:tc>
          <w:tcPr>
            <w:tcW w:type="dxa" w:w="1234"/>
          </w:tcPr>
          <w:p>
            <w:r>
              <w:rPr>
                <w:rFonts w:ascii="Calibri" w:hAnsi="Calibri"/>
                <w:sz w:val="22"/>
              </w:rPr>
              <w:t>Structural tailwind for TGP LNG feed gas; terminal export volumes</w:t>
            </w:r>
          </w:p>
        </w:tc>
      </w:tr>
      <w:tr>
        <w:tc>
          <w:tcPr>
            <w:tcW w:type="dxa" w:w="1234"/>
          </w:tcPr>
          <w:p>
            <w:r>
              <w:rPr>
                <w:rFonts w:ascii="Calibri" w:hAnsi="Calibri"/>
                <w:sz w:val="22"/>
              </w:rPr>
              <w:t>Data Center / Power Demand</w:t>
            </w:r>
          </w:p>
        </w:tc>
        <w:tc>
          <w:tcPr>
            <w:tcW w:type="dxa" w:w="1234"/>
          </w:tcPr>
          <w:p>
            <w:r>
              <w:rPr>
                <w:rFonts w:ascii="Calibri" w:hAnsi="Calibri"/>
                <w:sz w:val="22"/>
              </w:rPr>
              <w:t>✅ Strongly Positive</w:t>
            </w:r>
          </w:p>
        </w:tc>
        <w:tc>
          <w:tcPr>
            <w:tcW w:type="dxa" w:w="1234"/>
          </w:tcPr>
          <w:p>
            <w:r>
              <w:rPr>
                <w:rFonts w:ascii="Calibri" w:hAnsi="Calibri"/>
                <w:sz w:val="22"/>
              </w:rPr>
              <w:t>✅ Positive</w:t>
            </w:r>
          </w:p>
        </w:tc>
        <w:tc>
          <w:tcPr>
            <w:tcW w:type="dxa" w:w="1234"/>
          </w:tcPr>
          <w:p>
            <w:r>
              <w:rPr>
                <w:rFonts w:ascii="Calibri" w:hAnsi="Calibri"/>
                <w:sz w:val="22"/>
              </w:rPr>
              <w:t>✅ Positive</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Validates KMI backlog; SoftBank Ohio optionality</w:t>
            </w:r>
          </w:p>
        </w:tc>
      </w:tr>
      <w:tr>
        <w:tc>
          <w:tcPr>
            <w:tcW w:type="dxa" w:w="1234"/>
          </w:tcPr>
          <w:p>
            <w:r>
              <w:rPr>
                <w:rFonts w:ascii="Calibri" w:hAnsi="Calibri"/>
                <w:sz w:val="22"/>
              </w:rPr>
              <w:t>Haynesville Gathering Volumes</w:t>
            </w:r>
          </w:p>
        </w:tc>
        <w:tc>
          <w:tcPr>
            <w:tcW w:type="dxa" w:w="1234"/>
          </w:tcPr>
          <w:p>
            <w:r>
              <w:rPr>
                <w:rFonts w:ascii="Calibri" w:hAnsi="Calibri"/>
                <w:sz w:val="22"/>
              </w:rPr>
              <w:t>✅ Positive</w:t>
            </w:r>
          </w:p>
        </w:tc>
        <w:tc>
          <w:tcPr>
            <w:tcW w:type="dxa" w:w="1234"/>
          </w:tcPr>
          <w:p>
            <w:r>
              <w:rPr>
                <w:rFonts w:ascii="Calibri" w:hAnsi="Calibri"/>
                <w:sz w:val="22"/>
              </w:rPr>
              <w:t>—</w:t>
            </w:r>
          </w:p>
        </w:tc>
        <w:tc>
          <w:tcPr>
            <w:tcW w:type="dxa" w:w="1234"/>
          </w:tcPr>
          <w:p>
            <w:r>
              <w:rPr>
                <w:rFonts w:ascii="Calibri" w:hAnsi="Calibri"/>
                <w:sz w:val="22"/>
              </w:rPr>
              <w:t>✅ Positive</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KinderHawk volumes up 34% YoY in Q1; growth expected to continue</w:t>
            </w:r>
          </w:p>
        </w:tc>
      </w:tr>
      <w:tr>
        <w:tc>
          <w:tcPr>
            <w:tcW w:type="dxa" w:w="1234"/>
          </w:tcPr>
          <w:p>
            <w:r>
              <w:rPr>
                <w:rFonts w:ascii="Calibri" w:hAnsi="Calibri"/>
                <w:sz w:val="22"/>
              </w:rPr>
              <w:t>Permian Waha Basis / Shut-ins</w:t>
            </w:r>
          </w:p>
        </w:tc>
        <w:tc>
          <w:tcPr>
            <w:tcW w:type="dxa" w:w="1234"/>
          </w:tcPr>
          <w:p>
            <w:r>
              <w:rPr>
                <w:rFonts w:ascii="Calibri" w:hAnsi="Calibri"/>
                <w:sz w:val="22"/>
              </w:rPr>
              <w:t>—</w:t>
            </w:r>
          </w:p>
        </w:tc>
        <w:tc>
          <w:tcPr>
            <w:tcW w:type="dxa" w:w="1234"/>
          </w:tcPr>
          <w:p>
            <w:r>
              <w:rPr>
                <w:rFonts w:ascii="Calibri" w:hAnsi="Calibri"/>
                <w:sz w:val="22"/>
              </w:rPr>
              <w:t>⚠️ Normalizing in H2</w:t>
            </w:r>
          </w:p>
        </w:tc>
        <w:tc>
          <w:tcPr>
            <w:tcW w:type="dxa" w:w="1234"/>
          </w:tcPr>
          <w:p>
            <w:r>
              <w:rPr>
                <w:rFonts w:ascii="Calibri" w:hAnsi="Calibri"/>
                <w:sz w:val="22"/>
              </w:rPr>
              <w:t>⚠️ Bottleneck opening H2</w:t>
            </w:r>
          </w:p>
        </w:tc>
        <w:tc>
          <w:tcPr>
            <w:tcW w:type="dxa" w:w="1234"/>
          </w:tcPr>
          <w:p>
            <w:r>
              <w:rPr>
                <w:rFonts w:ascii="Calibri" w:hAnsi="Calibri"/>
                <w:sz w:val="22"/>
              </w:rPr>
              <w:t>—</w:t>
            </w:r>
          </w:p>
        </w:tc>
        <w:tc>
          <w:tcPr>
            <w:tcW w:type="dxa" w:w="1234"/>
          </w:tcPr>
          <w:p>
            <w:r>
              <w:rPr>
                <w:rFonts w:ascii="Calibri" w:hAnsi="Calibri"/>
                <w:sz w:val="22"/>
              </w:rPr>
              <w:t>❌ 200-400 MMcf/d shut in</w:t>
            </w:r>
          </w:p>
        </w:tc>
        <w:tc>
          <w:tcPr>
            <w:tcW w:type="dxa" w:w="1234"/>
          </w:tcPr>
          <w:p>
            <w:r>
              <w:rPr>
                <w:rFonts w:ascii="Calibri" w:hAnsi="Calibri"/>
                <w:sz w:val="22"/>
              </w:rPr>
              <w:t>Near-term Q2 headwind; take-or-pay limits direct exposure; GCC expansion provides relief</w:t>
            </w:r>
          </w:p>
        </w:tc>
      </w:tr>
      <w:tr>
        <w:tc>
          <w:tcPr>
            <w:tcW w:type="dxa" w:w="1234"/>
          </w:tcPr>
          <w:p>
            <w:r>
              <w:rPr>
                <w:rFonts w:ascii="Calibri" w:hAnsi="Calibri"/>
                <w:sz w:val="22"/>
              </w:rPr>
              <w:t>Terminal / Export Volumes</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 Record export volumes</w:t>
            </w:r>
          </w:p>
        </w:tc>
        <w:tc>
          <w:tcPr>
            <w:tcW w:type="dxa" w:w="1234"/>
          </w:tcPr>
          <w:p>
            <w:r>
              <w:rPr>
                <w:rFonts w:ascii="Calibri" w:hAnsi="Calibri"/>
                <w:sz w:val="22"/>
              </w:rPr>
              <w:t>✅ Record LPG loadings</w:t>
            </w:r>
          </w:p>
        </w:tc>
        <w:tc>
          <w:tcPr>
            <w:tcW w:type="dxa" w:w="1234"/>
          </w:tcPr>
          <w:p>
            <w:r>
              <w:rPr>
                <w:rFonts w:ascii="Calibri" w:hAnsi="Calibri"/>
                <w:sz w:val="22"/>
              </w:rPr>
              <w:t>KMI Houston Ship Channel docks "very busy"; terminal segment strength expected to continue</w:t>
            </w:r>
          </w:p>
        </w:tc>
      </w:tr>
      <w:tr>
        <w:tc>
          <w:tcPr>
            <w:tcW w:type="dxa" w:w="1234"/>
          </w:tcPr>
          <w:p>
            <w:r>
              <w:rPr>
                <w:rFonts w:ascii="Calibri" w:hAnsi="Calibri"/>
                <w:sz w:val="22"/>
              </w:rPr>
              <w:t>FY2026 Guidance Raised</w:t>
            </w:r>
          </w:p>
        </w:tc>
        <w:tc>
          <w:tcPr>
            <w:tcW w:type="dxa" w:w="1234"/>
          </w:tcPr>
          <w:p>
            <w:r>
              <w:rPr>
                <w:rFonts w:ascii="Calibri" w:hAnsi="Calibri"/>
                <w:sz w:val="22"/>
              </w:rPr>
              <w:t>✅ Upper half</w:t>
            </w:r>
          </w:p>
        </w:tc>
        <w:tc>
          <w:tcPr>
            <w:tcW w:type="dxa" w:w="1234"/>
          </w:tcPr>
          <w:p>
            <w:r>
              <w:rPr>
                <w:rFonts w:ascii="Calibri" w:hAnsi="Calibri"/>
                <w:sz w:val="22"/>
              </w:rPr>
              <w:t>✅ +$300M midpoint</w:t>
            </w:r>
          </w:p>
        </w:tc>
        <w:tc>
          <w:tcPr>
            <w:tcW w:type="dxa" w:w="1234"/>
          </w:tcPr>
          <w:p>
            <w:r>
              <w:rPr>
                <w:rFonts w:ascii="Calibri" w:hAnsi="Calibri"/>
                <w:sz w:val="22"/>
              </w:rPr>
              <w:t>✅ +$750M midpoint</w:t>
            </w:r>
          </w:p>
        </w:tc>
        <w:tc>
          <w:tcPr>
            <w:tcW w:type="dxa" w:w="1234"/>
          </w:tcPr>
          <w:p>
            <w:r>
              <w:rPr>
                <w:rFonts w:ascii="Calibri" w:hAnsi="Calibri"/>
                <w:sz w:val="22"/>
              </w:rPr>
              <w:t>✅ Favorable</w:t>
            </w:r>
          </w:p>
        </w:tc>
        <w:tc>
          <w:tcPr>
            <w:tcW w:type="dxa" w:w="1234"/>
          </w:tcPr>
          <w:p>
            <w:r>
              <w:rPr>
                <w:rFonts w:ascii="Calibri" w:hAnsi="Calibri"/>
                <w:sz w:val="22"/>
              </w:rPr>
              <w:t>✅ +$300M midpoint</w:t>
            </w:r>
          </w:p>
        </w:tc>
        <w:tc>
          <w:tcPr>
            <w:tcW w:type="dxa" w:w="1234"/>
          </w:tcPr>
          <w:p>
            <w:r>
              <w:rPr>
                <w:rFonts w:ascii="Calibri" w:hAnsi="Calibri"/>
                <w:sz w:val="22"/>
              </w:rPr>
              <w:t>Consistent with KMI's own raised guidance; sector-wide outperformance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by two VPs — these are pre-scheduled, obligation-driven dispositions with no discretionary signal; there are no open-market buys or discretionary sales, and the absence of any insider buying is neutral rather than a negative given the 10b5-1 context.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Jul 6, 2026</w:t>
            </w:r>
          </w:p>
        </w:tc>
        <w:tc>
          <w:tcPr>
            <w:tcW w:type="dxa" w:w="1234"/>
          </w:tcPr>
          <w:p>
            <w:r>
              <w:rPr>
                <w:rFonts w:ascii="Calibri" w:hAnsi="Calibri"/>
                <w:sz w:val="22"/>
              </w:rPr>
              <w:t>Jul 6, 2026</w:t>
            </w:r>
          </w:p>
        </w:tc>
        <w:tc>
          <w:tcPr>
            <w:tcW w:type="dxa" w:w="1234"/>
          </w:tcPr>
          <w:p>
            <w:r>
              <w:rPr>
                <w:rFonts w:ascii="Calibri" w:hAnsi="Calibri"/>
                <w:sz w:val="22"/>
              </w:rPr>
              <w:t>Pre-scheduled 10b5-1 plan; routine monthly cadence</w:t>
            </w:r>
          </w:p>
        </w:tc>
      </w:tr>
      <w:tr>
        <w:tc>
          <w:tcPr>
            <w:tcW w:type="dxa" w:w="1234"/>
          </w:tcPr>
          <w:p>
            <w:r>
              <w:rPr>
                <w:rFonts w:ascii="Calibri" w:hAnsi="Calibri"/>
                <w:sz w:val="22"/>
              </w:rPr>
              <w:t>Garthwaite, Michael P.</w:t>
            </w:r>
          </w:p>
        </w:tc>
        <w:tc>
          <w:tcPr>
            <w:tcW w:type="dxa" w:w="1234"/>
          </w:tcPr>
          <w:p>
            <w:r>
              <w:rPr>
                <w:rFonts w:ascii="Calibri" w:hAnsi="Calibri"/>
                <w:sz w:val="22"/>
              </w:rPr>
              <w:t>VP (President,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Jul 16, 2026</w:t>
            </w:r>
          </w:p>
        </w:tc>
        <w:tc>
          <w:tcPr>
            <w:tcW w:type="dxa" w:w="1234"/>
          </w:tcPr>
          <w:p>
            <w:r>
              <w:rPr>
                <w:rFonts w:ascii="Calibri" w:hAnsi="Calibri"/>
                <w:sz w:val="22"/>
              </w:rPr>
              <w:t>Jul 20, 2026</w:t>
            </w:r>
          </w:p>
        </w:tc>
        <w:tc>
          <w:tcPr>
            <w:tcW w:type="dxa" w:w="1234"/>
          </w:tcPr>
          <w:p>
            <w:r>
              <w:rPr>
                <w:rFonts w:ascii="Calibri" w:hAnsi="Calibri"/>
                <w:sz w:val="22"/>
              </w:rPr>
              <w:t>Pre-scheduled 10b5-1 plan; routine monthly cadence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Jun 5, 2026</w:t>
            </w:r>
          </w:p>
        </w:tc>
        <w:tc>
          <w:tcPr>
            <w:tcW w:type="dxa" w:w="1234"/>
          </w:tcPr>
          <w:p>
            <w:r>
              <w:rPr>
                <w:rFonts w:ascii="Calibri" w:hAnsi="Calibri"/>
                <w:sz w:val="22"/>
              </w:rPr>
              <w:t>Jun 5, 2026</w:t>
            </w:r>
          </w:p>
        </w:tc>
        <w:tc>
          <w:tcPr>
            <w:tcW w:type="dxa" w:w="1234"/>
          </w:tcPr>
          <w:p>
            <w:r>
              <w:rPr>
                <w:rFonts w:ascii="Calibri" w:hAnsi="Calibri"/>
                <w:sz w:val="22"/>
              </w:rPr>
              <w:t>Pre-scheduled 10b5-1 plan; routine monthly cadence</w:t>
            </w:r>
          </w:p>
        </w:tc>
      </w:tr>
      <w:tr>
        <w:tc>
          <w:tcPr>
            <w:tcW w:type="dxa" w:w="1234"/>
          </w:tcPr>
          <w:p>
            <w:r>
              <w:rPr>
                <w:rFonts w:ascii="Calibri" w:hAnsi="Calibri"/>
                <w:sz w:val="22"/>
              </w:rPr>
              <w:t>Garthwaite, Michael P.</w:t>
            </w:r>
          </w:p>
        </w:tc>
        <w:tc>
          <w:tcPr>
            <w:tcW w:type="dxa" w:w="1234"/>
          </w:tcPr>
          <w:p>
            <w:r>
              <w:rPr>
                <w:rFonts w:ascii="Calibri" w:hAnsi="Calibri"/>
                <w:sz w:val="22"/>
              </w:rPr>
              <w:t>VP (President,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Jun 16, 2026</w:t>
            </w:r>
          </w:p>
        </w:tc>
        <w:tc>
          <w:tcPr>
            <w:tcW w:type="dxa" w:w="1234"/>
          </w:tcPr>
          <w:p>
            <w:r>
              <w:rPr>
                <w:rFonts w:ascii="Calibri" w:hAnsi="Calibri"/>
                <w:sz w:val="22"/>
              </w:rPr>
              <w:t>Jun 17, 2026</w:t>
            </w:r>
          </w:p>
        </w:tc>
        <w:tc>
          <w:tcPr>
            <w:tcW w:type="dxa" w:w="1234"/>
          </w:tcPr>
          <w:p>
            <w:r>
              <w:rPr>
                <w:rFonts w:ascii="Calibri" w:hAnsi="Calibri"/>
                <w:sz w:val="22"/>
              </w:rPr>
              <w:t>Pre-scheduled 10b5-1 plan; routine monthly cadence</w:t>
            </w:r>
          </w:p>
        </w:tc>
      </w:tr>
      <w:tr>
        <w:tc>
          <w:tcPr>
            <w:tcW w:type="dxa" w:w="1234"/>
          </w:tcPr>
          <w:p>
            <w:r>
              <w:rPr>
                <w:rFonts w:ascii="Calibri" w:hAnsi="Calibri"/>
                <w:sz w:val="22"/>
              </w:rPr>
              <w:t>Schlosser, John W.</w:t>
            </w:r>
          </w:p>
        </w:tc>
        <w:tc>
          <w:tcPr>
            <w:tcW w:type="dxa" w:w="1234"/>
          </w:tcPr>
          <w:p>
            <w:r>
              <w:rPr>
                <w:rFonts w:ascii="Calibri" w:hAnsi="Calibri"/>
                <w:sz w:val="22"/>
              </w:rPr>
              <w:t>V.P. (President, Terminals)</w:t>
            </w:r>
          </w:p>
        </w:tc>
        <w:tc>
          <w:tcPr>
            <w:tcW w:type="dxa" w:w="1234"/>
          </w:tcPr>
          <w:p>
            <w:r>
              <w:rPr>
                <w:rFonts w:ascii="Calibri" w:hAnsi="Calibri"/>
                <w:sz w:val="22"/>
              </w:rPr>
              <w:t>10b5-1 Planned Sale</w:t>
            </w:r>
          </w:p>
        </w:tc>
        <w:tc>
          <w:tcPr>
            <w:tcW w:type="dxa" w:w="1234"/>
          </w:tcPr>
          <w:p>
            <w:r>
              <w:rPr>
                <w:rFonts w:ascii="Calibri" w:hAnsi="Calibri"/>
                <w:sz w:val="22"/>
              </w:rPr>
              <w:t>6,166</w:t>
            </w:r>
          </w:p>
        </w:tc>
        <w:tc>
          <w:tcPr>
            <w:tcW w:type="dxa" w:w="1234"/>
          </w:tcPr>
          <w:p>
            <w:r>
              <w:rPr>
                <w:rFonts w:ascii="Calibri" w:hAnsi="Calibri"/>
                <w:sz w:val="22"/>
              </w:rPr>
              <w:t>May 5, 2026</w:t>
            </w:r>
          </w:p>
        </w:tc>
        <w:tc>
          <w:tcPr>
            <w:tcW w:type="dxa" w:w="1234"/>
          </w:tcPr>
          <w:p>
            <w:r>
              <w:rPr>
                <w:rFonts w:ascii="Calibri" w:hAnsi="Calibri"/>
                <w:sz w:val="22"/>
              </w:rPr>
              <w:t>May 5, 2026</w:t>
            </w:r>
          </w:p>
        </w:tc>
        <w:tc>
          <w:tcPr>
            <w:tcW w:type="dxa" w:w="1234"/>
          </w:tcPr>
          <w:p>
            <w:r>
              <w:rPr>
                <w:rFonts w:ascii="Calibri" w:hAnsi="Calibri"/>
                <w:sz w:val="22"/>
              </w:rPr>
              <w:t>Pre-scheduled 10b5-1 plan; routine monthly cadence</w:t>
            </w:r>
          </w:p>
        </w:tc>
      </w:tr>
      <w:tr>
        <w:tc>
          <w:tcPr>
            <w:tcW w:type="dxa" w:w="1234"/>
          </w:tcPr>
          <w:p>
            <w:r>
              <w:rPr>
                <w:rFonts w:ascii="Calibri" w:hAnsi="Calibri"/>
                <w:sz w:val="22"/>
              </w:rPr>
              <w:t>Garthwaite, Michael P.</w:t>
            </w:r>
          </w:p>
        </w:tc>
        <w:tc>
          <w:tcPr>
            <w:tcW w:type="dxa" w:w="1234"/>
          </w:tcPr>
          <w:p>
            <w:r>
              <w:rPr>
                <w:rFonts w:ascii="Calibri" w:hAnsi="Calibri"/>
                <w:sz w:val="22"/>
              </w:rPr>
              <w:t>VP (President, Products Pipelines)</w:t>
            </w:r>
          </w:p>
        </w:tc>
        <w:tc>
          <w:tcPr>
            <w:tcW w:type="dxa" w:w="1234"/>
          </w:tcPr>
          <w:p>
            <w:r>
              <w:rPr>
                <w:rFonts w:ascii="Calibri" w:hAnsi="Calibri"/>
                <w:sz w:val="22"/>
              </w:rPr>
              <w:t>10b5-1 Planned Sale</w:t>
            </w:r>
          </w:p>
        </w:tc>
        <w:tc>
          <w:tcPr>
            <w:tcW w:type="dxa" w:w="1234"/>
          </w:tcPr>
          <w:p>
            <w:r>
              <w:rPr>
                <w:rFonts w:ascii="Calibri" w:hAnsi="Calibri"/>
                <w:sz w:val="22"/>
              </w:rPr>
              <w:t>1,550</w:t>
            </w:r>
          </w:p>
        </w:tc>
        <w:tc>
          <w:tcPr>
            <w:tcW w:type="dxa" w:w="1234"/>
          </w:tcPr>
          <w:p>
            <w:r>
              <w:rPr>
                <w:rFonts w:ascii="Calibri" w:hAnsi="Calibri"/>
                <w:sz w:val="22"/>
              </w:rPr>
              <w:t>May 18, 2026</w:t>
            </w:r>
          </w:p>
        </w:tc>
        <w:tc>
          <w:tcPr>
            <w:tcW w:type="dxa" w:w="1234"/>
          </w:tcPr>
          <w:p>
            <w:r>
              <w:rPr>
                <w:rFonts w:ascii="Calibri" w:hAnsi="Calibri"/>
                <w:sz w:val="22"/>
              </w:rPr>
              <w:t>May 19, 2026</w:t>
            </w:r>
          </w:p>
        </w:tc>
        <w:tc>
          <w:tcPr>
            <w:tcW w:type="dxa" w:w="1234"/>
          </w:tcPr>
          <w:p>
            <w:r>
              <w:rPr>
                <w:rFonts w:ascii="Calibri" w:hAnsi="Calibri"/>
                <w:sz w:val="22"/>
              </w:rPr>
              <w:t>Pre-scheduled 10b5-1 plan; routine monthly cadence</w:t>
            </w:r>
          </w:p>
        </w:tc>
      </w:tr>
    </w:tbl>
    <w:p>
      <w:r>
        <w:rPr>
          <w:rFonts w:ascii="Calibri" w:hAnsi="Calibri"/>
          <w:color w:val="525866"/>
          <w:sz w:val="22"/>
        </w:rPr>
        <w:t>Source: SEC Form 4 filings (Insider Transaction Data). All transactions are coded 'S' (Sale / Disposition) under pre-established 10b5-1 trading plans. Both insiders are selling in a consistent monthly cadence (Schlosser: ~6,166 shares/month; Garthwaite: ~1,550 shares/month), which is characteristic of systematic 10b5-1 plan execution rather than discretionary selling. No open-market buys have been filed since Q1 2026 earnings. The absence of discretionary insider buying is neutral in context — KMI's management has historically not been active open-market buyers, and the 10b5-1 sales are obligation-driven. No Form 144 (intended sale) filings were identified in the period.</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financial data sourced from Visible Alpha consensus and actuals database, SEC Form 4 filings, Yahoo Finance, and publicly available earnings call transcripts. Consensus estimates are as of July 21, 2026 and subject to change. Past beat/miss history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