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mt-earnings-predictions--2026-07-23"/>
    <w:p>
      <w:pPr>
        <w:pStyle w:val="Heading1"/>
      </w:pPr>
      <w:r>
        <w:t xml:space="preserve">LMT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(Q2'26, non-GAAP/ex-charge)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~$6.95 vs. cons $7.15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~$19.0B vs. cons $19.28B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Segment operating margin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~10.2% vs. cons ~10.7%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29.35</m:t>
              </m:r>
              <m:r>
                <m:rPr>
                  <m:sty m:val="p"/>
                </m:rPr>
                <m:t>−</m:t>
              </m:r>
              <m:r>
                <m:t>30.25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29.80) vs. cons ~$29.75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6.5</m:t>
              </m:r>
              <m:r>
                <m:rPr>
                  <m:sty m:val="p"/>
                </m:rPr>
                <m:t>−</m:t>
              </m:r>
              <m:r>
                <m:t>6.8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t>o</m:t>
              </m:r>
              <m:r>
                <m:t>p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n</m:t>
              </m:r>
              <m:r>
                <m:t>d</m:t>
              </m:r>
              <m:r>
                <m:t>l</m:t>
              </m:r>
              <m:r>
                <m:t>e</m:t>
              </m:r>
              <m:r>
                <m:t>a</m:t>
              </m:r>
              <m:r>
                <m:t>n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6.7B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Sales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77.5</m:t>
              </m:r>
              <m:r>
                <m:rPr>
                  <m:sty m:val="p"/>
                </m:rPr>
                <m:t>−</m:t>
              </m:r>
              <m:r>
                <m:t>80.0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78.75B) vs. cons ~$78.7B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Backlog / book-to-bill (THAAD ~$35B, PAC-3)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backlog ~$200B+ vs. prior</w:t>
            </w:r>
            <w:r>
              <w:t xml:space="preserve"> </w:t>
            </w:r>
            <m:oMath>
              <m:r>
                <m:t>186</m:t>
              </m:r>
              <m:r>
                <m:t>B</m:t>
              </m:r>
              <m:r>
                <m:rPr>
                  <m:sty m:val="p"/>
                </m:rPr>
                <m:t>/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190B (Q2'26)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Classified program charges (Aero/MFC) &amp; new-CEO big-bath risk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charge ~</w:t>
            </w:r>
            <m:oMath>
              <m:r>
                <m:t>0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t>a</m:t>
              </m:r>
              <m:r>
                <m:t>s</m:t>
              </m:r>
              <m:r>
                <m:t>h</m:t>
              </m:r>
              <m:r>
                <m:t>b</m:t>
              </m:r>
              <m:r>
                <m:t>u</m:t>
              </m:r>
              <m:r>
                <m:t>r</m:t>
              </m:r>
              <m:r>
                <m:t>n</m:t>
              </m:r>
              <m:r>
                <m:t> </m:t>
              </m:r>
            </m:oMath>
            <w:r>
              <w:t xml:space="preserve">500-700M/yr) vs. cons $0 charge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Setup is a high-bar 'clean comp' with a fresh CEO (St. John) print — elevated big-bath/charge risk plus a demanding +6% revenue reaccel off a flat, sub-11% margin Q1. A soft Q2 on margin/FCF with only a reaffirmed (not raised) FY guide forces sell-side to trim out-period H2 estimates even if the headline is 'clean,' because the ~+25% segment-profit bridge becomes harder. Low-beta name (~0.5) so residual is idiosyncratic; skeptical, drifting-lower positioning means a miss/charge pulls estimates and the stock lower over the week rather than reversing. Offsetting bull case (record THAAD/PAC-3 bookings, positive FCF vs easy year-ago -$150M comp) caps downside but is unlikely to spark durable follow-through given execution doubts.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2026-07-23T00:28:15Z</dcterms:created>
  <dcterms:modified xsi:type="dcterms:W3CDTF">2026-07-23T00:28:15Z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