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mt-earnings-predictions--2026-07-23"/>
    <w:p>
      <w:pPr>
        <w:pStyle w:val="Heading1"/>
      </w:pPr>
      <w:r>
        <w:t xml:space="preserve">LMT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~$19.65B vs. cons $19.52B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~$7.37 vs. cons $7.28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Missiles and Fire Control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~$582M vs. cons $567M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77.5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80.0B vs. cons $79.17B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29.35</m:t>
              </m:r>
              <m:r>
                <m:rPr>
                  <m:sty m:val="p"/>
                </m:rPr>
                <m:t>–</m:t>
              </m:r>
            </m:oMath>
            <w:r>
              <w:t xml:space="preserve">30.25 vs. cons $29.90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6.6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6.8B vs. cons $6.64B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+4.2% (FOLLOW-THROUGH)</w:t>
            </w:r>
          </w:p>
        </w:tc>
        <w:tc>
          <w:tcPr/>
          <w:p>
            <w:pPr>
              <w:pStyle w:val="Compact"/>
            </w:pPr>
            <w:r>
              <w:t xml:space="preserve">A clean quarter and FY2026 free-cash-flow range improving to ~</w:t>
            </w:r>
            <m:oMath>
              <m:r>
                <m:t>6.6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6.8B from the prior</w:t>
            </w:r>
            <w:r>
              <w:t xml:space="preserve"> </w:t>
            </w:r>
            <m:oMath>
              <m:r>
                <m:t>6.5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6.8B should lift estimates modestly; unchanged EPS guidance limits the initial rerating, but the absence of implicit out-period cuts supports follow-through from +3.1% day 1 to +4.2%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2026-07-23T00:28:46Z</dcterms:created>
  <dcterms:modified xsi:type="dcterms:W3CDTF">2026-07-23T00:28:46Z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