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mt-earnings-predictions--2026-07-23"/>
    <w:p>
      <w:pPr>
        <w:pStyle w:val="Heading1"/>
      </w:pPr>
      <w:r>
        <w:t xml:space="preserve">LMT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~$19.42B vs. cons $19.28B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~$7.32 vs. cons $7.15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~$0.35B vs. cons $0.80B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sales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~$78.75B vs. cons $78.80B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diluted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~$29.80 vs. cons $30.00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free-cash-flow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~$6.65B vs. cons $6.65B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(STABILIZE)</w:t>
            </w:r>
          </w:p>
        </w:tc>
        <w:tc>
          <w:tcPr/>
          <w:p>
            <w:pPr>
              <w:pStyle w:val="Compact"/>
            </w:pPr>
            <w:r>
              <w:t xml:space="preserve">A ~$0.17 EPS beat versus</w:t>
            </w:r>
            <w:r>
              <w:t xml:space="preserve"> </w:t>
            </w:r>
            <m:oMath>
              <m:r>
                <m:t>7.15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0.14B revenue beat versus</w:t>
            </w:r>
            <w:r>
              <w:t xml:space="preserve"> </w:t>
            </w:r>
            <m:oMath>
              <m:r>
                <m:t>19.28</m:t>
              </m:r>
              <m:r>
                <m:t>B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b</m:t>
              </m:r>
              <m:r>
                <m:t>e</m:t>
              </m:r>
              <m:r>
                <m:t>o</m:t>
              </m:r>
              <m:r>
                <m:t>u</m:t>
              </m:r>
              <m:r>
                <m:t>t</m:t>
              </m:r>
              <m:r>
                <m:t>w</m:t>
              </m:r>
              <m:r>
                <m:t>e</m:t>
              </m:r>
              <m:r>
                <m:t>i</m:t>
              </m:r>
              <m:r>
                <m:t>g</m:t>
              </m:r>
              <m:r>
                <m:t>h</m:t>
              </m:r>
              <m:r>
                <m:t>e</m:t>
              </m:r>
              <m:r>
                <m:t>d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l</m:t>
              </m:r>
              <m:r>
                <m:t>y</m:t>
              </m:r>
              <m:r>
                <m:t>b</m:t>
              </m:r>
              <m:r>
                <m:t>y</m:t>
              </m:r>
              <m:r>
                <m:t>a</m:t>
              </m:r>
              <m:r>
                <m:t> </m:t>
              </m:r>
            </m:oMath>
            <w:r>
              <w:t xml:space="preserve">0.45B quarterly FCF shortfall versus</w:t>
            </w:r>
            <w:r>
              <w:t xml:space="preserve"> </w:t>
            </w:r>
            <m:oMath>
              <m:r>
                <m:t>0.80</m:t>
              </m:r>
              <m:r>
                <m:t>B</m:t>
              </m:r>
              <m:r>
                <m:t>a</m:t>
              </m:r>
              <m:r>
                <m:t>n</m:t>
              </m:r>
              <m:r>
                <m:t>d</m:t>
              </m:r>
              <m:r>
                <m:t>a</m:t>
              </m:r>
              <m:r>
                <m:t>n</m:t>
              </m:r>
              <m:r>
                <m:t>u</m:t>
              </m:r>
              <m:r>
                <m:t>n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d</m:t>
              </m:r>
              <m:r>
                <m:t> </m:t>
              </m:r>
            </m:oMath>
            <w:r>
              <w:t xml:space="preserve">6.65B FY2026 FCF guide versus $6.65B consensus. With FY2026 sales guide near $78.75B versus $78.80B consensus and EPS guide near $29.80 versus $30.00, out-period estimate cuts should be limited; the initial cash-conversion disappointment is therefore more likely to stabilize than drive a continuing revision-led selloff.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2026-07-23T00:28:17Z</dcterms:created>
  <dcterms:modified xsi:type="dcterms:W3CDTF">2026-07-23T00:28:17Z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