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676ed910b7de8e32e4affbd9df469f930b7adef"/>
    <w:p>
      <w:pPr>
        <w:pStyle w:val="Heading1"/>
      </w:pPr>
      <w:r>
        <w:t xml:space="preserve">Lockheed Martin (NYSE: LMT) — 2Q26 Earnings Preview</w:t>
      </w:r>
    </w:p>
    <w:p>
      <w:pPr>
        <w:pStyle w:val="BlockText"/>
      </w:pPr>
      <w:r>
        <w:rPr>
          <w:b/>
          <w:bCs/>
        </w:rPr>
        <w:t xml:space="preserve">Date clarification:</w:t>
      </w:r>
      <w:r>
        <w:t xml:space="preserve"> </w:t>
      </w:r>
      <w:r>
        <w:t xml:space="preserve">Today is</w:t>
      </w:r>
      <w:r>
        <w:t xml:space="preserve"> </w:t>
      </w:r>
      <w:r>
        <w:rPr>
          <w:b/>
          <w:bCs/>
        </w:rPr>
        <w:t xml:space="preserve">Thursday, July 23, 2026</w:t>
      </w:r>
      <w:r>
        <w:t xml:space="preserve">. LMT is scheduled to report</w:t>
      </w:r>
      <w:r>
        <w:t xml:space="preserve"> </w:t>
      </w:r>
      <w:r>
        <w:rPr>
          <w:b/>
          <w:bCs/>
        </w:rPr>
        <w:t xml:space="preserve">2Q26 results before the U.S. market opens today</w:t>
      </w:r>
      <w:r>
        <w:t xml:space="preserve">, followed by its 2026Q2 earnings call—not tomorrow.</w:t>
      </w:r>
    </w:p>
    <w:bookmarkStart w:id="9" w:name="Xfa682c4797465d54f50efd93bdc85542886e343"/>
    <w:p>
      <w:pPr>
        <w:pStyle w:val="Heading2"/>
      </w:pPr>
      <w:r>
        <w:t xml:space="preserve">Investment view: execution and cash conversion matter more than demand</w:t>
      </w:r>
    </w:p>
    <w:p>
      <w:pPr>
        <w:pStyle w:val="FirstParagraph"/>
      </w:pPr>
      <w:r>
        <w:t xml:space="preserve">Lockheed enters 2Q with an unusually supportive demand backdrop: missile defense, precision strike, fifth-generation aircraft, strategic deterrence, and space are all priorities for U.S. and allied customers. The question for investors is not whether demand exists—it plainly does—but whether LMT can translate that demand into</w:t>
      </w:r>
      <w:r>
        <w:t xml:space="preserve"> </w:t>
      </w:r>
      <w:r>
        <w:rPr>
          <w:b/>
          <w:bCs/>
        </w:rPr>
        <w:t xml:space="preserve">higher production, cleaner program execution, improved margins, and cash flow</w:t>
      </w:r>
      <w:r>
        <w:t xml:space="preserve">.</w:t>
      </w:r>
    </w:p>
    <w:p>
      <w:pPr>
        <w:pStyle w:val="BodyText"/>
      </w:pPr>
      <w:r>
        <w:t xml:space="preserve">The Street expects roughly</w:t>
      </w:r>
      <w:r>
        <w:t xml:space="preserve"> </w:t>
      </w:r>
      <m:oMath>
        <m:r>
          <m:t>19.28</m:t>
        </m:r>
        <m:r>
          <m:t>b</m:t>
        </m:r>
        <m:r>
          <m:t>i</m:t>
        </m:r>
        <m:r>
          <m:t>l</m:t>
        </m:r>
        <m:r>
          <m:t>l</m:t>
        </m:r>
        <m:r>
          <m:t>i</m:t>
        </m:r>
        <m:r>
          <m:t>o</m:t>
        </m:r>
        <m:r>
          <m:t>n</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7.15 of EPS</w:t>
      </w:r>
      <w:r>
        <w:t xml:space="preserve"> </w:t>
      </w:r>
      <w:r>
        <w:t xml:space="preserve">for 2Q. The year-over-year EPS comparison will be largely unhelpful because 2Q25 included approximately</w:t>
      </w:r>
      <w:r>
        <w:t xml:space="preserve"> </w:t>
      </w:r>
      <w:r>
        <w:rPr>
          <w:b/>
          <w:bCs/>
        </w:rPr>
        <w:t xml:space="preserve">$1.6 billion of pre-tax program losses</w:t>
      </w:r>
      <w:r>
        <w:t xml:space="preserve">, principally on an Aeronautics classified program and Sikorsky international helicopter programs. The more meaningful read-through will be:</w:t>
      </w:r>
    </w:p>
    <w:p>
      <w:pPr>
        <w:pStyle w:val="Compact"/>
        <w:numPr>
          <w:ilvl w:val="0"/>
          <w:numId w:val="1001"/>
        </w:numPr>
      </w:pPr>
      <w:r>
        <w:rPr>
          <w:b/>
          <w:bCs/>
        </w:rPr>
        <w:t xml:space="preserve">Reaffirmation versus a raise in 2026 guidance</w:t>
      </w:r>
    </w:p>
    <w:p>
      <w:pPr>
        <w:pStyle w:val="Compact"/>
        <w:numPr>
          <w:ilvl w:val="0"/>
          <w:numId w:val="1001"/>
        </w:numPr>
      </w:pPr>
      <w:r>
        <w:rPr>
          <w:b/>
          <w:bCs/>
        </w:rPr>
        <w:t xml:space="preserve">No renewed classified-program or Sikorsky charges</w:t>
      </w:r>
    </w:p>
    <w:p>
      <w:pPr>
        <w:pStyle w:val="Compact"/>
        <w:numPr>
          <w:ilvl w:val="0"/>
          <w:numId w:val="1001"/>
        </w:numPr>
      </w:pPr>
      <w:r>
        <w:rPr>
          <w:b/>
          <w:bCs/>
        </w:rPr>
        <w:t xml:space="preserve">Margin progression in Aeronautics, RMS, and Space</w:t>
      </w:r>
    </w:p>
    <w:p>
      <w:pPr>
        <w:pStyle w:val="Compact"/>
        <w:numPr>
          <w:ilvl w:val="0"/>
          <w:numId w:val="1001"/>
        </w:numPr>
      </w:pPr>
      <w:r>
        <w:rPr>
          <w:b/>
          <w:bCs/>
        </w:rPr>
        <w:t xml:space="preserve">Evidence that working-capital pressure is beginning to unwind</w:t>
      </w:r>
    </w:p>
    <w:p>
      <w:pPr>
        <w:pStyle w:val="Compact"/>
        <w:numPr>
          <w:ilvl w:val="0"/>
          <w:numId w:val="1001"/>
        </w:numPr>
      </w:pPr>
      <w:r>
        <w:rPr>
          <w:b/>
          <w:bCs/>
        </w:rPr>
        <w:t xml:space="preserve">Further contract detail and production-rate visibility for PAC-3, THAAD, PrSM, and related munitions</w:t>
      </w:r>
    </w:p>
    <w:bookmarkEnd w:id="9"/>
    <w:bookmarkStart w:id="10" w:name="expectations-and-the-bar"/>
    <w:p>
      <w:pPr>
        <w:pStyle w:val="Heading2"/>
      </w:pPr>
      <w:r>
        <w:t xml:space="preserve">Expectations and the bar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2Q26 expectation / framing</w:t>
            </w:r>
          </w:p>
        </w:tc>
      </w:tr>
      <w:tr>
        <w:tc>
          <w:tcPr/>
          <w:p>
            <w:pPr>
              <w:pStyle w:val="Compact"/>
            </w:pPr>
            <w:r>
              <w:t xml:space="preserve">Revenue consensus</w:t>
            </w:r>
          </w:p>
        </w:tc>
        <w:tc>
          <w:tcPr/>
          <w:p>
            <w:pPr>
              <w:pStyle w:val="Compact"/>
              <w:jc w:val="right"/>
            </w:pPr>
            <w:r>
              <w:rPr>
                <w:b/>
                <w:bCs/>
              </w:rPr>
              <w:t xml:space="preserve">$19.28B</w:t>
            </w:r>
          </w:p>
        </w:tc>
      </w:tr>
      <w:tr>
        <w:tc>
          <w:tcPr/>
          <w:p>
            <w:pPr>
              <w:pStyle w:val="Compact"/>
            </w:pPr>
            <w:r>
              <w:t xml:space="preserve">EPS consensus</w:t>
            </w:r>
          </w:p>
        </w:tc>
        <w:tc>
          <w:tcPr/>
          <w:p>
            <w:pPr>
              <w:pStyle w:val="Compact"/>
              <w:jc w:val="right"/>
            </w:pPr>
            <w:r>
              <w:rPr>
                <w:b/>
                <w:bCs/>
              </w:rPr>
              <w:t xml:space="preserve">$7.15</w:t>
            </w:r>
          </w:p>
        </w:tc>
      </w:tr>
      <w:tr>
        <w:tc>
          <w:tcPr/>
          <w:p>
            <w:pPr>
              <w:pStyle w:val="Compact"/>
            </w:pPr>
            <w:r>
              <w:t xml:space="preserve">2026 sales guidance</w:t>
            </w:r>
          </w:p>
        </w:tc>
        <w:tc>
          <w:tcPr/>
          <w:p>
            <w:pPr>
              <w:pStyle w:val="Compact"/>
              <w:jc w:val="right"/>
            </w:pPr>
            <m:oMath>
              <m:r>
                <m:t>77.5</m:t>
              </m:r>
              <m:r>
                <m:t>B</m:t>
              </m:r>
              <m:r>
                <m:rPr>
                  <m:sty m:val="p"/>
                </m:rPr>
                <m:t>–</m:t>
              </m:r>
            </m:oMath>
            <w:r>
              <w:rPr>
                <w:b/>
                <w:bCs/>
              </w:rPr>
              <w:t xml:space="preserve">80.0B</w:t>
            </w:r>
          </w:p>
        </w:tc>
      </w:tr>
      <w:tr>
        <w:tc>
          <w:tcPr/>
          <w:p>
            <w:pPr>
              <w:pStyle w:val="Compact"/>
            </w:pPr>
            <w:r>
              <w:t xml:space="preserve">2026 segment operating-profit guidance</w:t>
            </w:r>
          </w:p>
        </w:tc>
        <w:tc>
          <w:tcPr/>
          <w:p>
            <w:pPr>
              <w:pStyle w:val="Compact"/>
              <w:jc w:val="right"/>
            </w:pPr>
            <m:oMath>
              <m:r>
                <m:t>8.425</m:t>
              </m:r>
              <m:r>
                <m:t>B</m:t>
              </m:r>
              <m:r>
                <m:rPr>
                  <m:sty m:val="p"/>
                </m:rPr>
                <m:t>–</m:t>
              </m:r>
            </m:oMath>
            <w:r>
              <w:rPr>
                <w:b/>
                <w:bCs/>
              </w:rPr>
              <w:t xml:space="preserve">8.675B</w:t>
            </w:r>
          </w:p>
        </w:tc>
      </w:tr>
      <w:tr>
        <w:tc>
          <w:tcPr/>
          <w:p>
            <w:pPr>
              <w:pStyle w:val="Compact"/>
            </w:pPr>
            <w:r>
              <w:t xml:space="preserve">2026 EPS guidance</w:t>
            </w:r>
          </w:p>
        </w:tc>
        <w:tc>
          <w:tcPr/>
          <w:p>
            <w:pPr>
              <w:pStyle w:val="Compact"/>
              <w:jc w:val="right"/>
            </w:pPr>
            <m:oMath>
              <m:r>
                <m:t>29.35</m:t>
              </m:r>
              <m:r>
                <m:rPr>
                  <m:sty m:val="p"/>
                </m:rPr>
                <m:t>–</m:t>
              </m:r>
            </m:oMath>
            <w:r>
              <w:rPr>
                <w:b/>
                <w:bCs/>
              </w:rPr>
              <w:t xml:space="preserve">30.25</w:t>
            </w:r>
          </w:p>
        </w:tc>
      </w:tr>
      <w:tr>
        <w:tc>
          <w:tcPr/>
          <w:p>
            <w:pPr>
              <w:pStyle w:val="Compact"/>
            </w:pPr>
            <w:r>
              <w:t xml:space="preserve">2026 free-cash-flow guidance</w:t>
            </w:r>
          </w:p>
        </w:tc>
        <w:tc>
          <w:tcPr/>
          <w:p>
            <w:pPr>
              <w:pStyle w:val="Compact"/>
              <w:jc w:val="right"/>
            </w:pPr>
            <m:oMath>
              <m:r>
                <m:t>6.5</m:t>
              </m:r>
              <m:r>
                <m:t>B</m:t>
              </m:r>
              <m:r>
                <m:rPr>
                  <m:sty m:val="p"/>
                </m:rPr>
                <m:t>–</m:t>
              </m:r>
            </m:oMath>
            <w:r>
              <w:rPr>
                <w:b/>
                <w:bCs/>
              </w:rPr>
              <w:t xml:space="preserve">6.8B</w:t>
            </w:r>
          </w:p>
        </w:tc>
      </w:tr>
    </w:tbl>
    <w:p>
      <w:pPr>
        <w:pStyle w:val="BodyText"/>
      </w:pPr>
      <w:r>
        <w:t xml:space="preserve">LMT’s 1Q revenue was</w:t>
      </w:r>
      <w:r>
        <w:t xml:space="preserve"> </w:t>
      </w:r>
      <w:r>
        <w:rPr>
          <w:b/>
          <w:bCs/>
        </w:rPr>
        <w:t xml:space="preserve">$18.0 billion</w:t>
      </w:r>
      <w:r>
        <w:t xml:space="preserve">, flat year over year, partly because the quarter had one fewer reporting week than the prior-year period. A</w:t>
      </w:r>
      <w:r>
        <w:t xml:space="preserve"> </w:t>
      </w:r>
      <m:oMath>
        <m:r>
          <m:t>19.28</m:t>
        </m:r>
        <m:r>
          <m:t>b</m:t>
        </m:r>
        <m:r>
          <m:t>i</m:t>
        </m:r>
        <m:r>
          <m:t>l</m:t>
        </m:r>
        <m:r>
          <m:t>l</m:t>
        </m:r>
        <m:r>
          <m:t>i</m:t>
        </m:r>
        <m:r>
          <m:t>o</m:t>
        </m:r>
        <m:r>
          <m:t>n</m:t>
        </m:r>
        <m:r>
          <m:t>2</m:t>
        </m:r>
        <m:r>
          <m:t>Q</m:t>
        </m:r>
        <m:r>
          <m:t>w</m:t>
        </m:r>
        <m:r>
          <m:t>o</m:t>
        </m:r>
        <m:r>
          <m:t>u</m:t>
        </m:r>
        <m:r>
          <m:t>l</m:t>
        </m:r>
        <m:r>
          <m:t>d</m:t>
        </m:r>
        <m:r>
          <m:t>p</m:t>
        </m:r>
        <m:r>
          <m:t>u</m:t>
        </m:r>
        <m:r>
          <m:t>t</m:t>
        </m:r>
        <m:r>
          <m:t>f</m:t>
        </m:r>
        <m:r>
          <m:t>i</m:t>
        </m:r>
        <m:r>
          <m:t>r</m:t>
        </m:r>
        <m:r>
          <m:t>s</m:t>
        </m:r>
        <m:r>
          <m:t>t</m:t>
        </m:r>
        <m:r>
          <m:rPr>
            <m:sty m:val="p"/>
          </m:rPr>
          <m:t>−</m:t>
        </m:r>
        <m:r>
          <m:t>h</m:t>
        </m:r>
        <m:r>
          <m:t>a</m:t>
        </m:r>
        <m:r>
          <m:t>l</m:t>
        </m:r>
        <m:r>
          <m:t>f</m:t>
        </m:r>
        <m:r>
          <m:t>r</m:t>
        </m:r>
        <m:r>
          <m:t>e</m:t>
        </m:r>
        <m:r>
          <m:t>v</m:t>
        </m:r>
        <m:r>
          <m:t>e</m:t>
        </m:r>
        <m:r>
          <m:t>n</m:t>
        </m:r>
        <m:r>
          <m:t>u</m:t>
        </m:r>
        <m:r>
          <m:t>e</m:t>
        </m:r>
        <m:r>
          <m:t>n</m:t>
        </m:r>
        <m:r>
          <m:t>e</m:t>
        </m:r>
        <m:r>
          <m:t>a</m:t>
        </m:r>
        <m:r>
          <m:t>r</m:t>
        </m:r>
        <m:r>
          <m:rPr>
            <m:sty m:val="p"/>
          </m:rPr>
          <m:t>*</m:t>
        </m:r>
        <m:r>
          <m:rPr>
            <m:sty m:val="p"/>
          </m:rPr>
          <m:t>*</m:t>
        </m:r>
      </m:oMath>
      <w:r>
        <w:t xml:space="preserve">37.3 billion**, implying roughly</w:t>
      </w:r>
      <w:r>
        <w:t xml:space="preserve"> </w:t>
      </w:r>
      <w:r>
        <w:rPr>
          <w:b/>
          <w:bCs/>
        </w:rPr>
        <w:t xml:space="preserve">$41.5 billion of second-half revenue</w:t>
      </w:r>
      <w:r>
        <w:t xml:space="preserve"> </w:t>
      </w:r>
      <w:r>
        <w:t xml:space="preserve">to reach the midpoint of full-year guidance. That is achievable, but it reinforces why management’s commentary on deliveries, milestones, material availability, and production ramps will matter.</w:t>
      </w:r>
    </w:p>
    <w:bookmarkEnd w:id="10"/>
    <w:bookmarkStart w:id="15" w:name="what-matters-most-on-the-call"/>
    <w:p>
      <w:pPr>
        <w:pStyle w:val="Heading2"/>
      </w:pPr>
      <w:r>
        <w:t xml:space="preserve">What matters most on the call</w:t>
      </w:r>
    </w:p>
    <w:bookmarkStart w:id="11" w:name="Xf08480672121e283f8efce34af4b635c19d7ff5"/>
    <w:p>
      <w:pPr>
        <w:pStyle w:val="Heading3"/>
      </w:pPr>
      <w:r>
        <w:t xml:space="preserve">1. Missiles &amp; Fire Control is the central growth engine</w:t>
      </w:r>
    </w:p>
    <w:p>
      <w:pPr>
        <w:pStyle w:val="FirstParagraph"/>
      </w:pPr>
      <w:r>
        <w:t xml:space="preserve">MFC is the clearest beneficiary of the current demand environment. In 1Q, segment sales grew</w:t>
      </w:r>
      <w:r>
        <w:t xml:space="preserve"> </w:t>
      </w:r>
      <w:r>
        <w:rPr>
          <w:b/>
          <w:bCs/>
        </w:rPr>
        <w:t xml:space="preserve">8%</w:t>
      </w:r>
      <w:r>
        <w:t xml:space="preserve"> </w:t>
      </w:r>
      <w:r>
        <w:t xml:space="preserve">and operating profit grew</w:t>
      </w:r>
      <w:r>
        <w:t xml:space="preserve"> </w:t>
      </w:r>
      <w:r>
        <w:rPr>
          <w:b/>
          <w:bCs/>
        </w:rPr>
        <w:t xml:space="preserve">8%</w:t>
      </w:r>
      <w:r>
        <w:t xml:space="preserve">, driven by PAC-3 and tactical/strike missile ramps including JASSM, LRASM, and PrSM.</w:t>
      </w:r>
    </w:p>
    <w:p>
      <w:pPr>
        <w:pStyle w:val="BodyText"/>
      </w:pPr>
      <w:r>
        <w:t xml:space="preserve">The strategic issue is now execution at scale. Management has described multiyear production frameworks intended to lift PAC-3 output from about 650 missiles annually toward 2,000 over three to four years, while expanding THAAD and PrSM capacity. LMT has emphasized contractual protections—including inflation escalation, advance payments, and recovery mechanisms if requested volumes decline—that should reduce the financial risk historically associated with large capacity additions.</w:t>
      </w:r>
    </w:p>
    <w:p>
      <w:pPr>
        <w:pStyle w:val="BodyText"/>
      </w:pPr>
      <w:r>
        <w:rPr>
          <w:b/>
          <w:bCs/>
        </w:rPr>
        <w:t xml:space="preserve">What investors should look for:</w:t>
      </w:r>
    </w:p>
    <w:p>
      <w:pPr>
        <w:pStyle w:val="Compact"/>
        <w:numPr>
          <w:ilvl w:val="0"/>
          <w:numId w:val="1002"/>
        </w:numPr>
      </w:pPr>
      <w:r>
        <w:t xml:space="preserve">Definitization or funding progress on multiyear munitions agreements.</w:t>
      </w:r>
    </w:p>
    <w:p>
      <w:pPr>
        <w:pStyle w:val="Compact"/>
        <w:numPr>
          <w:ilvl w:val="0"/>
          <w:numId w:val="1002"/>
        </w:numPr>
      </w:pPr>
      <w:r>
        <w:t xml:space="preserve">Production-rate milestones and supply-chain readiness, particularly for solid rocket motors and Patriot seekers.</w:t>
      </w:r>
    </w:p>
    <w:p>
      <w:pPr>
        <w:pStyle w:val="Compact"/>
        <w:numPr>
          <w:ilvl w:val="0"/>
          <w:numId w:val="1002"/>
        </w:numPr>
      </w:pPr>
      <w:r>
        <w:t xml:space="preserve">Incremental orders, advance payments, or backlog disclosures.</w:t>
      </w:r>
    </w:p>
    <w:p>
      <w:pPr>
        <w:pStyle w:val="Compact"/>
        <w:numPr>
          <w:ilvl w:val="0"/>
          <w:numId w:val="1002"/>
        </w:numPr>
      </w:pPr>
      <w:r>
        <w:t xml:space="preserve">Margin trajectory: high-volume missile production supports growth, but margins may initially be constrained by capacity investments and early ramp inefficiencies.</w:t>
      </w:r>
    </w:p>
    <w:p>
      <w:pPr>
        <w:pStyle w:val="FirstParagraph"/>
      </w:pPr>
      <w:r>
        <w:t xml:space="preserve">The July announcement of the lower-cost</w:t>
      </w:r>
      <w:r>
        <w:t xml:space="preserve"> </w:t>
      </w:r>
      <w:r>
        <w:rPr>
          <w:b/>
          <w:bCs/>
        </w:rPr>
        <w:t xml:space="preserve">PAC-3 Adapted Capability Effector (ACE)</w:t>
      </w:r>
      <w:r>
        <w:t xml:space="preserve"> </w:t>
      </w:r>
      <w:r>
        <w:t xml:space="preserve">adds a longer-term strategic opportunity. It addresses the affordability problem in air defense and broadens LMT’s product ladder below the premium PAC-3 MSE interceptor. However, with initial production framed on a multiyear timetable, ACE is more likely to be a</w:t>
      </w:r>
      <w:r>
        <w:t xml:space="preserve"> </w:t>
      </w:r>
      <w:r>
        <w:rPr>
          <w:b/>
          <w:bCs/>
        </w:rPr>
        <w:t xml:space="preserve">strategic narrative catalyst</w:t>
      </w:r>
      <w:r>
        <w:t xml:space="preserve"> </w:t>
      </w:r>
      <w:r>
        <w:t xml:space="preserve">than a material 2026 financial driver.</w:t>
      </w:r>
    </w:p>
    <w:bookmarkEnd w:id="11"/>
    <w:bookmarkStart w:id="12" w:name="Xc4aaa8f58fafba643842c2052c8f0491e0956e6"/>
    <w:p>
      <w:pPr>
        <w:pStyle w:val="Heading3"/>
      </w:pPr>
      <w:r>
        <w:t xml:space="preserve">2. Aeronautics needs to demonstrate that 1Q issues were contained</w:t>
      </w:r>
    </w:p>
    <w:p>
      <w:pPr>
        <w:pStyle w:val="FirstParagraph"/>
      </w:pPr>
      <w:r>
        <w:t xml:space="preserve">Aeronautics remains LMT’s largest segment and its most important execution variable. In 1Q, revenue declined</w:t>
      </w:r>
      <w:r>
        <w:t xml:space="preserve"> </w:t>
      </w:r>
      <w:r>
        <w:rPr>
          <w:b/>
          <w:bCs/>
        </w:rPr>
        <w:t xml:space="preserve">1%</w:t>
      </w:r>
      <w:r>
        <w:t xml:space="preserve">, operating profit fell</w:t>
      </w:r>
      <w:r>
        <w:t xml:space="preserve"> </w:t>
      </w:r>
      <w:r>
        <w:rPr>
          <w:b/>
          <w:bCs/>
        </w:rPr>
        <w:t xml:space="preserve">14%</w:t>
      </w:r>
      <w:r>
        <w:t xml:space="preserve">, and margin declined to</w:t>
      </w:r>
      <w:r>
        <w:t xml:space="preserve"> </w:t>
      </w:r>
      <w:r>
        <w:rPr>
          <w:b/>
          <w:bCs/>
        </w:rPr>
        <w:t xml:space="preserve">8.9%</w:t>
      </w:r>
      <w:r>
        <w:t xml:space="preserve"> </w:t>
      </w:r>
      <w:r>
        <w:t xml:space="preserve">from 10.2%. The quarter included:</w:t>
      </w:r>
    </w:p>
    <w:p>
      <w:pPr>
        <w:pStyle w:val="Compact"/>
        <w:numPr>
          <w:ilvl w:val="0"/>
          <w:numId w:val="1003"/>
        </w:numPr>
      </w:pPr>
      <w:r>
        <w:rPr>
          <w:b/>
          <w:bCs/>
        </w:rPr>
        <w:t xml:space="preserve">$125 million</w:t>
      </w:r>
      <w:r>
        <w:t xml:space="preserve"> </w:t>
      </w:r>
      <w:r>
        <w:t xml:space="preserve">of unfavorable F-16 profit adjustments tied to production performance and development delays;</w:t>
      </w:r>
    </w:p>
    <w:p>
      <w:pPr>
        <w:pStyle w:val="Compact"/>
        <w:numPr>
          <w:ilvl w:val="0"/>
          <w:numId w:val="1003"/>
        </w:numPr>
      </w:pPr>
      <w:r>
        <w:rPr>
          <w:b/>
          <w:bCs/>
        </w:rPr>
        <w:t xml:space="preserve">$55 million</w:t>
      </w:r>
      <w:r>
        <w:t xml:space="preserve"> </w:t>
      </w:r>
      <w:r>
        <w:t xml:space="preserve">of net unfavorable C-130 adjustments tied to manufacturing-source integration challenges and delivery delays;</w:t>
      </w:r>
    </w:p>
    <w:p>
      <w:pPr>
        <w:pStyle w:val="Compact"/>
        <w:numPr>
          <w:ilvl w:val="0"/>
          <w:numId w:val="1003"/>
        </w:numPr>
      </w:pPr>
      <w:r>
        <w:t xml:space="preserve">partially offset by</w:t>
      </w:r>
      <w:r>
        <w:t xml:space="preserve"> </w:t>
      </w:r>
      <w:r>
        <w:rPr>
          <w:b/>
          <w:bCs/>
        </w:rPr>
        <w:t xml:space="preserve">$130 million</w:t>
      </w:r>
      <w:r>
        <w:t xml:space="preserve"> </w:t>
      </w:r>
      <w:r>
        <w:t xml:space="preserve">of favorable F-35 adjustments.</w:t>
      </w:r>
    </w:p>
    <w:p>
      <w:pPr>
        <w:pStyle w:val="FirstParagraph"/>
      </w:pPr>
      <w:r>
        <w:t xml:space="preserve">Management said F-16 flight-test issues had been resolved and C-130 deliveries had resumed. Those claims need confirmation in 2Q results.</w:t>
      </w:r>
    </w:p>
    <w:p>
      <w:pPr>
        <w:pStyle w:val="BodyText"/>
      </w:pPr>
      <w:r>
        <w:t xml:space="preserve">The larger overhang is the classified Aeronautics program that produced a</w:t>
      </w:r>
      <w:r>
        <w:t xml:space="preserve"> </w:t>
      </w:r>
      <w:r>
        <w:rPr>
          <w:b/>
          <w:bCs/>
        </w:rPr>
        <w:t xml:space="preserve">$950 million pre-tax reach-forward loss in 2Q25</w:t>
      </w:r>
      <w:r>
        <w:t xml:space="preserve">. Management took no charge in 1Q26 and said its estimate remains stable, but it also acknowledged residual technical and schedule risk. Given the anniversary of last year’s charge, investors will be especially sensitive to any change in language around risk, test progress, customer negotiations, or estimate-at-completion assumptions.</w:t>
      </w:r>
    </w:p>
    <w:p>
      <w:pPr>
        <w:pStyle w:val="BodyText"/>
      </w:pPr>
      <w:r>
        <w:rPr>
          <w:b/>
          <w:bCs/>
        </w:rPr>
        <w:t xml:space="preserve">Bullish read:</w:t>
      </w:r>
      <w:r>
        <w:t xml:space="preserve"> </w:t>
      </w:r>
      <w:r>
        <w:t xml:space="preserve">F-35 volume and sustainment offset the F-16/C-130 issues; no classified-program charge; Aero margin begins recovering.</w:t>
      </w:r>
    </w:p>
    <w:p>
      <w:pPr>
        <w:pStyle w:val="BodyText"/>
      </w:pPr>
      <w:r>
        <w:rPr>
          <w:b/>
          <w:bCs/>
        </w:rPr>
        <w:t xml:space="preserve">Bearish read:</w:t>
      </w:r>
      <w:r>
        <w:t xml:space="preserve"> </w:t>
      </w:r>
      <w:r>
        <w:t xml:space="preserve">another charge, a delivery interruption, or vague language that suggests the classified program is not yet fully de-risked.</w:t>
      </w:r>
    </w:p>
    <w:bookmarkEnd w:id="12"/>
    <w:bookmarkStart w:id="13" w:name="Xd3be9bde42232d0dec319fed76c5d3f00d5ea83"/>
    <w:p>
      <w:pPr>
        <w:pStyle w:val="Heading3"/>
      </w:pPr>
      <w:r>
        <w:t xml:space="preserve">3. RMS is still a repair story</w:t>
      </w:r>
    </w:p>
    <w:p>
      <w:pPr>
        <w:pStyle w:val="FirstParagraph"/>
      </w:pPr>
      <w:r>
        <w:t xml:space="preserve">RMS had a difficult 1Q: sales declined</w:t>
      </w:r>
      <w:r>
        <w:t xml:space="preserve"> </w:t>
      </w:r>
      <w:r>
        <w:rPr>
          <w:b/>
          <w:bCs/>
        </w:rPr>
        <w:t xml:space="preserve">8%</w:t>
      </w:r>
      <w:r>
        <w:t xml:space="preserve">, operating profit declined</w:t>
      </w:r>
      <w:r>
        <w:t xml:space="preserve"> </w:t>
      </w:r>
      <w:r>
        <w:rPr>
          <w:b/>
          <w:bCs/>
        </w:rPr>
        <w:t xml:space="preserve">19%</w:t>
      </w:r>
      <w:r>
        <w:t xml:space="preserve">, and margin fell to</w:t>
      </w:r>
      <w:r>
        <w:t xml:space="preserve"> </w:t>
      </w:r>
      <w:r>
        <w:rPr>
          <w:b/>
          <w:bCs/>
        </w:rPr>
        <w:t xml:space="preserve">10.6%</w:t>
      </w:r>
      <w:r>
        <w:t xml:space="preserve"> </w:t>
      </w:r>
      <w:r>
        <w:t xml:space="preserve">from 12.0%. The segment faced lower radar volume, Sikorsky timing issues, and unfavorable adjustments on CH-53K and Seahawk programs.</w:t>
      </w:r>
    </w:p>
    <w:p>
      <w:pPr>
        <w:pStyle w:val="BodyText"/>
      </w:pPr>
      <w:r>
        <w:t xml:space="preserve">This follows the much larger 2Q25 losses on the Canadian Maritime Helicopter Program and Turkish Utility Helicopter Program. While those legacy charges create an easy reported comparison, investors need evidence that RMS can return to a steadier normalized margin profile.</w:t>
      </w:r>
    </w:p>
    <w:p>
      <w:pPr>
        <w:pStyle w:val="BodyText"/>
      </w:pPr>
      <w:r>
        <w:t xml:space="preserve">Key questions:</w:t>
      </w:r>
    </w:p>
    <w:p>
      <w:pPr>
        <w:pStyle w:val="Compact"/>
        <w:numPr>
          <w:ilvl w:val="0"/>
          <w:numId w:val="1004"/>
        </w:numPr>
      </w:pPr>
      <w:r>
        <w:t xml:space="preserve">Are Sikorsky material receipts and production volumes normalizing?</w:t>
      </w:r>
    </w:p>
    <w:p>
      <w:pPr>
        <w:pStyle w:val="Compact"/>
        <w:numPr>
          <w:ilvl w:val="0"/>
          <w:numId w:val="1004"/>
        </w:numPr>
      </w:pPr>
      <w:r>
        <w:t xml:space="preserve">Have the CH-53K and Seahawk issues been contained?</w:t>
      </w:r>
    </w:p>
    <w:p>
      <w:pPr>
        <w:pStyle w:val="Compact"/>
        <w:numPr>
          <w:ilvl w:val="0"/>
          <w:numId w:val="1004"/>
        </w:numPr>
      </w:pPr>
      <w:r>
        <w:t xml:space="preserve">Is the RMS portfolio restructuring improving program management and customer alignment?</w:t>
      </w:r>
    </w:p>
    <w:p>
      <w:pPr>
        <w:pStyle w:val="Compact"/>
        <w:numPr>
          <w:ilvl w:val="0"/>
          <w:numId w:val="1004"/>
        </w:numPr>
      </w:pPr>
      <w:r>
        <w:t xml:space="preserve">Can Aegis, radar, command-and-control, and autonomy opportunities offset helicopter-program pressure?</w:t>
      </w:r>
    </w:p>
    <w:bookmarkEnd w:id="13"/>
    <w:bookmarkStart w:id="14" w:name="Xe3e7189b5364e319c53204f5fb8ebc508461a52"/>
    <w:p>
      <w:pPr>
        <w:pStyle w:val="Heading3"/>
      </w:pPr>
      <w:r>
        <w:t xml:space="preserve">4. Space growth is solid, but margin recovery is required</w:t>
      </w:r>
    </w:p>
    <w:p>
      <w:pPr>
        <w:pStyle w:val="FirstParagraph"/>
      </w:pPr>
      <w:r>
        <w:t xml:space="preserve">Space delivered</w:t>
      </w:r>
      <w:r>
        <w:t xml:space="preserve"> </w:t>
      </w:r>
      <w:r>
        <w:rPr>
          <w:b/>
          <w:bCs/>
        </w:rPr>
        <w:t xml:space="preserve">7% sales growth</w:t>
      </w:r>
      <w:r>
        <w:t xml:space="preserve"> </w:t>
      </w:r>
      <w:r>
        <w:t xml:space="preserve">in 1Q, driven by Fleet Ballistic Missile and Next Generation Interceptor work, but operating profit fell</w:t>
      </w:r>
      <w:r>
        <w:t xml:space="preserve"> </w:t>
      </w:r>
      <w:r>
        <w:rPr>
          <w:b/>
          <w:bCs/>
        </w:rPr>
        <w:t xml:space="preserve">26%</w:t>
      </w:r>
      <w:r>
        <w:t xml:space="preserve"> </w:t>
      </w:r>
      <w:r>
        <w:t xml:space="preserve">and margin dropped to</w:t>
      </w:r>
      <w:r>
        <w:t xml:space="preserve"> </w:t>
      </w:r>
      <w:r>
        <w:rPr>
          <w:b/>
          <w:bCs/>
        </w:rPr>
        <w:t xml:space="preserve">8.2%</w:t>
      </w:r>
      <w:r>
        <w:t xml:space="preserve">. The profit decline was mostly a difficult comparison against favorable completion adjustments on commercial civil-space programs in the prior year.</w:t>
      </w:r>
    </w:p>
    <w:p>
      <w:pPr>
        <w:pStyle w:val="BodyText"/>
      </w:pPr>
      <w:r>
        <w:t xml:space="preserve">Investors should expect strategic-deterrence and missile-defense demand to remain favorable. Still, the key issue is whether higher volume starts translating to improved profitability as the year progresses, consistent with management’s stated expectation for stronger second-half margins.</w:t>
      </w:r>
    </w:p>
    <w:bookmarkEnd w:id="14"/>
    <w:bookmarkEnd w:id="15"/>
    <w:bookmarkStart w:id="16" w:name="cash-flow-is-the-critical-financial-test"/>
    <w:p>
      <w:pPr>
        <w:pStyle w:val="Heading2"/>
      </w:pPr>
      <w:r>
        <w:t xml:space="preserve">Cash flow is the critical financial test</w:t>
      </w:r>
    </w:p>
    <w:p>
      <w:pPr>
        <w:pStyle w:val="FirstParagraph"/>
      </w:pPr>
      <w:r>
        <w:t xml:space="preserve">The largest disconnect in 1Q was between earnings and cash generation. LMT produced</w:t>
      </w:r>
      <w:r>
        <w:t xml:space="preserve"> </w:t>
      </w:r>
      <w:r>
        <w:rPr>
          <w:b/>
          <w:bCs/>
        </w:rPr>
        <w:t xml:space="preserve">$220 million of operating cash flow</w:t>
      </w:r>
      <w:r>
        <w:t xml:space="preserve"> </w:t>
      </w:r>
      <w:r>
        <w:t xml:space="preserve">and</w:t>
      </w:r>
      <w:r>
        <w:t xml:space="preserve"> </w:t>
      </w:r>
      <w:r>
        <w:rPr>
          <w:b/>
          <w:bCs/>
        </w:rPr>
        <w:t xml:space="preserve">negative $291 million of free cash flow</w:t>
      </w:r>
      <w:r>
        <w:t xml:space="preserve">, versus $955 million of free cash flow in 1Q25. The company attributed the decline mainly to billing timing, higher working capital, and an ERP-system transition in one business area.</w:t>
      </w:r>
    </w:p>
    <w:p>
      <w:pPr>
        <w:pStyle w:val="BodyText"/>
      </w:pPr>
      <w:r>
        <w:t xml:space="preserve">At quarter-end:</w:t>
      </w:r>
    </w:p>
    <w:p>
      <w:pPr>
        <w:pStyle w:val="Compact"/>
        <w:numPr>
          <w:ilvl w:val="0"/>
          <w:numId w:val="1005"/>
        </w:numPr>
      </w:pPr>
      <w:r>
        <w:t xml:space="preserve">Contract assets were</w:t>
      </w:r>
      <w:r>
        <w:t xml:space="preserve"> </w:t>
      </w:r>
      <w:r>
        <w:rPr>
          <w:b/>
          <w:bCs/>
        </w:rPr>
        <w:t xml:space="preserve">$15.9 billion</w:t>
      </w:r>
      <w:r>
        <w:t xml:space="preserve">, up from $13.0 billion at year-end;</w:t>
      </w:r>
    </w:p>
    <w:p>
      <w:pPr>
        <w:pStyle w:val="Compact"/>
        <w:numPr>
          <w:ilvl w:val="0"/>
          <w:numId w:val="1005"/>
        </w:numPr>
      </w:pPr>
      <w:r>
        <w:t xml:space="preserve">Inventory was</w:t>
      </w:r>
      <w:r>
        <w:t xml:space="preserve"> </w:t>
      </w:r>
      <w:r>
        <w:rPr>
          <w:b/>
          <w:bCs/>
        </w:rPr>
        <w:t xml:space="preserve">$4.25 billion</w:t>
      </w:r>
      <w:r>
        <w:t xml:space="preserve">, up from $3.52 billion;</w:t>
      </w:r>
    </w:p>
    <w:p>
      <w:pPr>
        <w:pStyle w:val="Compact"/>
        <w:numPr>
          <w:ilvl w:val="0"/>
          <w:numId w:val="1005"/>
        </w:numPr>
      </w:pPr>
      <w:r>
        <w:t xml:space="preserve">Cash fell to</w:t>
      </w:r>
      <w:r>
        <w:t xml:space="preserve"> </w:t>
      </w:r>
      <w:r>
        <w:rPr>
          <w:b/>
          <w:bCs/>
        </w:rPr>
        <w:t xml:space="preserve">$1.89 billion</w:t>
      </w:r>
      <w:r>
        <w:t xml:space="preserve">, from $4.12 billion at year-end.</w:t>
      </w:r>
    </w:p>
    <w:p>
      <w:pPr>
        <w:pStyle w:val="FirstParagraph"/>
      </w:pPr>
      <w:r>
        <w:t xml:space="preserve">Management said the ERP-related issue should resolve during 2Q and that cash flow will again be heavily weighted to the second half. That creates a straightforward earnings-day test: LMT does not necessarily need to generate strong 2Q free cash flow, but it needs to give investors confidence that billing, collections, delivery liquidations, and milestone payments are progressing as planned.</w:t>
      </w:r>
    </w:p>
    <w:p>
      <w:pPr>
        <w:pStyle w:val="BodyText"/>
      </w:pPr>
      <w:r>
        <w:t xml:space="preserve">A reaffirmed</w:t>
      </w:r>
      <w:r>
        <w:t xml:space="preserve"> </w:t>
      </w:r>
      <m:oMath>
        <m:r>
          <m:t>6.5</m:t>
        </m:r>
        <m:r>
          <m:t>b</m:t>
        </m:r>
        <m:r>
          <m:t>i</m:t>
        </m:r>
        <m:r>
          <m:t>l</m:t>
        </m:r>
        <m:r>
          <m:t>l</m:t>
        </m:r>
        <m:r>
          <m:t>i</m:t>
        </m:r>
        <m:r>
          <m:t>o</m:t>
        </m:r>
        <m:r>
          <m:t>n</m:t>
        </m:r>
        <m:r>
          <m:rPr>
            <m:sty m:val="p"/>
          </m:rPr>
          <m:t>–</m:t>
        </m:r>
      </m:oMath>
      <w:r>
        <w:rPr>
          <w:b/>
          <w:bCs/>
        </w:rPr>
        <w:t xml:space="preserve">6.8 billion</w:t>
      </w:r>
      <w:r>
        <w:t xml:space="preserve"> </w:t>
      </w:r>
      <w:r>
        <w:t xml:space="preserve">full-year FCF guide remains constructive. Any cut would likely be viewed more negatively than a modest EPS miss because it would challenge the company’s ability to simultaneously fund growth capex, dividends, debt reduction, and repurchases.</w:t>
      </w:r>
    </w:p>
    <w:bookmarkEnd w:id="16"/>
    <w:bookmarkStart w:id="17" w:name="backlog-and-capital-deployment"/>
    <w:p>
      <w:pPr>
        <w:pStyle w:val="Heading2"/>
      </w:pPr>
      <w:r>
        <w:t xml:space="preserve">Backlog and capital deployment</w:t>
      </w:r>
    </w:p>
    <w:p>
      <w:pPr>
        <w:pStyle w:val="FirstParagraph"/>
      </w:pPr>
      <w:r>
        <w:t xml:space="preserve">LMT ended 1Q with</w:t>
      </w:r>
      <w:r>
        <w:t xml:space="preserve"> </w:t>
      </w:r>
      <w:r>
        <w:rPr>
          <w:b/>
          <w:bCs/>
        </w:rPr>
        <w:t xml:space="preserve">$186.4 billion of backlog</w:t>
      </w:r>
      <w:r>
        <w:t xml:space="preserve">, down from $193.6 billion at year-end but still representing substantial multiyear revenue visibility. The declining backlog figure itself should not be overinterpreted in one quarter; investors should focus on whether major munitions agreements, F-35 orders, international fighter activity, missile-defense awards, and space contracts rebuild awarded backlog or create a credible path to future orders.</w:t>
      </w:r>
    </w:p>
    <w:p>
      <w:pPr>
        <w:pStyle w:val="BodyText"/>
      </w:pPr>
      <w:r>
        <w:t xml:space="preserve">Capital allocation is also evolving. LMT paid</w:t>
      </w:r>
      <w:r>
        <w:t xml:space="preserve"> </w:t>
      </w:r>
      <m:oMath>
        <m:r>
          <m:t>1.0</m:t>
        </m:r>
        <m:r>
          <m:t>b</m:t>
        </m:r>
        <m:r>
          <m:t>i</m:t>
        </m:r>
        <m:r>
          <m:t>l</m:t>
        </m:r>
        <m:r>
          <m:t>l</m:t>
        </m:r>
        <m:r>
          <m:t>i</m:t>
        </m:r>
        <m:r>
          <m:t>o</m:t>
        </m:r>
        <m:r>
          <m:t>n</m:t>
        </m:r>
        <m:r>
          <m:t>o</m:t>
        </m:r>
        <m:r>
          <m:t>f</m:t>
        </m:r>
        <m:r>
          <m:t>d</m:t>
        </m:r>
        <m:r>
          <m:t>e</m:t>
        </m:r>
        <m:r>
          <m:t>b</m:t>
        </m:r>
        <m:r>
          <m:t>t</m:t>
        </m:r>
        <m:r>
          <m:t>m</m:t>
        </m:r>
        <m:r>
          <m:t>a</m:t>
        </m:r>
        <m:r>
          <m:t>t</m:t>
        </m:r>
        <m:r>
          <m:t>u</m:t>
        </m:r>
        <m:r>
          <m:t>r</m:t>
        </m:r>
        <m:r>
          <m:t>i</m:t>
        </m:r>
        <m:r>
          <m:t>t</m:t>
        </m:r>
        <m:r>
          <m:t>i</m:t>
        </m:r>
        <m:r>
          <m:t>e</m:t>
        </m:r>
        <m:r>
          <m:t>s</m:t>
        </m:r>
        <m:r>
          <m:rPr>
            <m:sty m:val="p"/>
          </m:rPr>
          <m:t>*</m:t>
        </m:r>
        <m:r>
          <m:rPr>
            <m:sty m:val="p"/>
          </m:rPr>
          <m:t>*</m:t>
        </m:r>
        <m:r>
          <m:t>i</m:t>
        </m:r>
        <m:r>
          <m:t>n</m:t>
        </m:r>
        <m:r>
          <m:t>1</m:t>
        </m:r>
        <m:r>
          <m:t>Q</m:t>
        </m:r>
        <m:r>
          <m:rPr>
            <m:sty m:val="p"/>
          </m:rPr>
          <m:t>,</m:t>
        </m:r>
        <m:r>
          <m:t>p</m:t>
        </m:r>
        <m:r>
          <m:t>a</m:t>
        </m:r>
        <m:r>
          <m:t>i</m:t>
        </m:r>
        <m:r>
          <m:t>d</m:t>
        </m:r>
        <m:r>
          <m:rPr>
            <m:sty m:val="p"/>
          </m:rPr>
          <m:t>*</m:t>
        </m:r>
        <m:r>
          <m:rPr>
            <m:sty m:val="p"/>
          </m:rPr>
          <m:t>*</m:t>
        </m:r>
      </m:oMath>
      <w:r>
        <w:rPr>
          <w:b/>
          <w:bCs/>
        </w:rPr>
        <w:t xml:space="preserve">816 million in dividends</w:t>
      </w:r>
      <w:r>
        <w:t xml:space="preserve">, and did not repurchase shares. With capex guided to</w:t>
      </w:r>
      <w:r>
        <w:t xml:space="preserve"> </w:t>
      </w:r>
      <m:oMath>
        <m:r>
          <m:t>2.5</m:t>
        </m:r>
        <m:r>
          <m:t>b</m:t>
        </m:r>
        <m:r>
          <m:t>i</m:t>
        </m:r>
        <m:r>
          <m:t>l</m:t>
        </m:r>
        <m:r>
          <m:t>l</m:t>
        </m:r>
        <m:r>
          <m:t>i</m:t>
        </m:r>
        <m:r>
          <m:t>o</m:t>
        </m:r>
        <m:r>
          <m:t>n</m:t>
        </m:r>
        <m:r>
          <m:rPr>
            <m:sty m:val="p"/>
          </m:rPr>
          <m:t>–</m:t>
        </m:r>
      </m:oMath>
      <w:r>
        <w:rPr>
          <w:b/>
          <w:bCs/>
        </w:rPr>
        <w:t xml:space="preserve">2.8 billion</w:t>
      </w:r>
      <w:r>
        <w:t xml:space="preserve"> </w:t>
      </w:r>
      <w:r>
        <w:t xml:space="preserve">in 2026—well above recent years—the near-term priority is clearly capacity expansion and balance-sheet discipline rather than aggressive buybacks.</w:t>
      </w:r>
    </w:p>
    <w:bookmarkEnd w:id="17"/>
    <w:bookmarkStart w:id="18" w:name="stock-setup"/>
    <w:p>
      <w:pPr>
        <w:pStyle w:val="Heading2"/>
      </w:pPr>
      <w:r>
        <w:t xml:space="preserve">Stock setup</w:t>
      </w:r>
    </w:p>
    <w:p>
      <w:pPr>
        <w:pStyle w:val="FirstParagraph"/>
      </w:pPr>
      <w:r>
        <w:t xml:space="preserve">LMT closed at</w:t>
      </w:r>
      <w:r>
        <w:t xml:space="preserve"> </w:t>
      </w:r>
      <w:r>
        <w:rPr>
          <w:b/>
          <w:bCs/>
        </w:rPr>
        <w:t xml:space="preserve">$514.40 on July 22</w:t>
      </w:r>
      <w:r>
        <w:t xml:space="preserve">, up about</w:t>
      </w:r>
      <w:r>
        <w:t xml:space="preserve"> </w:t>
      </w:r>
      <w:r>
        <w:rPr>
          <w:b/>
          <w:bCs/>
        </w:rPr>
        <w:t xml:space="preserve">3.5% year to date</w:t>
      </w:r>
      <w:r>
        <w:t xml:space="preserve">. That is broadly in line with RTX but behind General Dynamics, while Northrop has declined over the same period. The stock has also fallen about</w:t>
      </w:r>
      <w:r>
        <w:t xml:space="preserve"> </w:t>
      </w:r>
      <w:r>
        <w:rPr>
          <w:b/>
          <w:bCs/>
        </w:rPr>
        <w:t xml:space="preserve">7.4%</w:t>
      </w:r>
      <w:r>
        <w:t xml:space="preserve"> </w:t>
      </w:r>
      <w:r>
        <w:t xml:space="preserve">since the close immediately before the 1Q report, suggesting investors remain cautious about program-risk and cash-flow execution despite strong end-market demand.</w:t>
      </w:r>
    </w:p>
    <w:p>
      <w:pPr>
        <w:pStyle w:val="BodyText"/>
      </w:pPr>
      <w:r>
        <w:t xml:space="preserve">This is therefore not a “demand is good” earnings setup. Much of that macro tailwind is recognized. The upside case requires evidence that LMT can convert demand into</w:t>
      </w:r>
      <w:r>
        <w:t xml:space="preserve"> </w:t>
      </w:r>
      <w:r>
        <w:rPr>
          <w:b/>
          <w:bCs/>
        </w:rPr>
        <w:t xml:space="preserve">profitable, cash-generative growth</w:t>
      </w:r>
      <w:r>
        <w:t xml:space="preserve"> </w:t>
      </w:r>
      <w:r>
        <w:t xml:space="preserve">without another large program surprise.</w:t>
      </w:r>
    </w:p>
    <w:bookmarkEnd w:id="18"/>
    <w:bookmarkStart w:id="22" w:name="potential-market-reactions"/>
    <w:p>
      <w:pPr>
        <w:pStyle w:val="Heading2"/>
      </w:pPr>
      <w:r>
        <w:t xml:space="preserve">Potential market reactions</w:t>
      </w:r>
    </w:p>
    <w:bookmarkStart w:id="19" w:name="bull-case"/>
    <w:p>
      <w:pPr>
        <w:pStyle w:val="Heading3"/>
      </w:pPr>
      <w:r>
        <w:t xml:space="preserve">Bull case</w:t>
      </w:r>
    </w:p>
    <w:p>
      <w:pPr>
        <w:pStyle w:val="Compact"/>
        <w:numPr>
          <w:ilvl w:val="0"/>
          <w:numId w:val="1006"/>
        </w:numPr>
      </w:pPr>
      <w:r>
        <w:t xml:space="preserve">Revenue and EPS exceed expectations.</w:t>
      </w:r>
    </w:p>
    <w:p>
      <w:pPr>
        <w:pStyle w:val="Compact"/>
        <w:numPr>
          <w:ilvl w:val="0"/>
          <w:numId w:val="1006"/>
        </w:numPr>
      </w:pPr>
      <w:r>
        <w:t xml:space="preserve">2026 guidance is reaffirmed or raised.</w:t>
      </w:r>
    </w:p>
    <w:p>
      <w:pPr>
        <w:pStyle w:val="Compact"/>
        <w:numPr>
          <w:ilvl w:val="0"/>
          <w:numId w:val="1006"/>
        </w:numPr>
      </w:pPr>
      <w:r>
        <w:t xml:space="preserve">MFC growth and order activity accelerate.</w:t>
      </w:r>
    </w:p>
    <w:p>
      <w:pPr>
        <w:pStyle w:val="Compact"/>
        <w:numPr>
          <w:ilvl w:val="0"/>
          <w:numId w:val="1006"/>
        </w:numPr>
      </w:pPr>
      <w:r>
        <w:t xml:space="preserve">Aeronautics and RMS show clean execution, with no fresh material charges.</w:t>
      </w:r>
    </w:p>
    <w:p>
      <w:pPr>
        <w:pStyle w:val="Compact"/>
        <w:numPr>
          <w:ilvl w:val="0"/>
          <w:numId w:val="1006"/>
        </w:numPr>
      </w:pPr>
      <w:r>
        <w:t xml:space="preserve">Management expresses high confidence in restoring working capital and achieving the upper end of FCF guidance.</w:t>
      </w:r>
    </w:p>
    <w:bookmarkEnd w:id="19"/>
    <w:bookmarkStart w:id="20" w:name="base-case"/>
    <w:p>
      <w:pPr>
        <w:pStyle w:val="Heading3"/>
      </w:pPr>
      <w:r>
        <w:t xml:space="preserve">Base case</w:t>
      </w:r>
    </w:p>
    <w:p>
      <w:pPr>
        <w:pStyle w:val="Compact"/>
        <w:numPr>
          <w:ilvl w:val="0"/>
          <w:numId w:val="1007"/>
        </w:numPr>
      </w:pPr>
      <w:r>
        <w:t xml:space="preserve">Results are broadly in line.</w:t>
      </w:r>
    </w:p>
    <w:p>
      <w:pPr>
        <w:pStyle w:val="Compact"/>
        <w:numPr>
          <w:ilvl w:val="0"/>
          <w:numId w:val="1007"/>
        </w:numPr>
      </w:pPr>
      <w:r>
        <w:t xml:space="preserve">Guidance is maintained.</w:t>
      </w:r>
    </w:p>
    <w:p>
      <w:pPr>
        <w:pStyle w:val="Compact"/>
        <w:numPr>
          <w:ilvl w:val="0"/>
          <w:numId w:val="1007"/>
        </w:numPr>
      </w:pPr>
      <w:r>
        <w:t xml:space="preserve">MFC remains strong, while Aero/RMS margins improve only gradually.</w:t>
      </w:r>
    </w:p>
    <w:p>
      <w:pPr>
        <w:pStyle w:val="Compact"/>
        <w:numPr>
          <w:ilvl w:val="0"/>
          <w:numId w:val="1007"/>
        </w:numPr>
      </w:pPr>
      <w:r>
        <w:t xml:space="preserve">Cash flow remains weak near term but management reiterates a second-half recovery.</w:t>
      </w:r>
    </w:p>
    <w:bookmarkEnd w:id="20"/>
    <w:bookmarkStart w:id="21" w:name="bear-case"/>
    <w:p>
      <w:pPr>
        <w:pStyle w:val="Heading3"/>
      </w:pPr>
      <w:r>
        <w:t xml:space="preserve">Bear case</w:t>
      </w:r>
    </w:p>
    <w:p>
      <w:pPr>
        <w:pStyle w:val="Compact"/>
        <w:numPr>
          <w:ilvl w:val="0"/>
          <w:numId w:val="1008"/>
        </w:numPr>
      </w:pPr>
      <w:r>
        <w:t xml:space="preserve">Any new classified-program, F-16/C-130, or Sikorsky charge.</w:t>
      </w:r>
    </w:p>
    <w:p>
      <w:pPr>
        <w:pStyle w:val="Compact"/>
        <w:numPr>
          <w:ilvl w:val="0"/>
          <w:numId w:val="1008"/>
        </w:numPr>
      </w:pPr>
      <w:r>
        <w:t xml:space="preserve">A reduction in free-cash-flow guidance or weaker-than-expected explanation of the working-capital unwind.</w:t>
      </w:r>
    </w:p>
    <w:p>
      <w:pPr>
        <w:pStyle w:val="Compact"/>
        <w:numPr>
          <w:ilvl w:val="0"/>
          <w:numId w:val="1008"/>
        </w:numPr>
      </w:pPr>
      <w:r>
        <w:t xml:space="preserve">Evidence that supply-chain bottlenecks constrain planned missile-rate increases.</w:t>
      </w:r>
    </w:p>
    <w:p>
      <w:pPr>
        <w:pStyle w:val="Compact"/>
        <w:numPr>
          <w:ilvl w:val="0"/>
          <w:numId w:val="1008"/>
        </w:numPr>
      </w:pPr>
      <w:r>
        <w:t xml:space="preserve">Margin pressure from capacity expansion that calls into question the full-year operating-profit outlook.</w:t>
      </w:r>
    </w:p>
    <w:bookmarkEnd w:id="21"/>
    <w:bookmarkEnd w:id="22"/>
    <w:bookmarkStart w:id="23" w:name="bottom-line"/>
    <w:p>
      <w:pPr>
        <w:pStyle w:val="Heading2"/>
      </w:pPr>
      <w:r>
        <w:t xml:space="preserve">Bottom line</w:t>
      </w:r>
    </w:p>
    <w:p>
      <w:pPr>
        <w:pStyle w:val="FirstParagraph"/>
      </w:pPr>
      <w:r>
        <w:t xml:space="preserve">LMT’s 2Q report should confirm that its end markets are exceptionally strong; that is the easy part. The investment debate is whether the company has moved beyond the legacy execution problems highlighted by 2Q25 and can now deliver the operational leverage embedded in its 2026 outlook.</w:t>
      </w:r>
    </w:p>
    <w:p>
      <w:pPr>
        <w:pStyle w:val="BodyText"/>
      </w:pPr>
      <w:r>
        <w:rPr>
          <w:b/>
          <w:bCs/>
        </w:rPr>
        <w:t xml:space="preserve">The most important combination for investors is: strong MFC growth, stable Aeronautics/RMS program estimates, and credible cash-conversion commentary.</w:t>
      </w:r>
      <w:r>
        <w:t xml:space="preserve"> </w:t>
      </w:r>
      <w:r>
        <w:t xml:space="preserve">If all three arrive, the report can support a rerating toward LMT as a cleaner beneficiary of the defense-capex cycle. If any one breaks—especially program charges or cash-flow guidance—the market is likely to remain skeptical.</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2026-07-23T00:28:17Z</dcterms:created>
  <dcterms:modified xsi:type="dcterms:W3CDTF">2026-07-23T00:28:17Z</dcterms:modified>
</cp:coreProperties>
</file>

<file path=docProps/custom.xml><?xml version="1.0" encoding="utf-8"?>
<Properties xmlns="http://schemas.openxmlformats.org/officeDocument/2006/custom-properties" xmlns:vt="http://schemas.openxmlformats.org/officeDocument/2006/docPropsVTypes"/>
</file>