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MFC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~$4.10B vs. cons $4.022B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Aeronautics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~$7.60B vs. cons $7.595B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~$1.10B vs. cons $860M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77.5</m:t>
              </m:r>
              <m:r>
                <m:rPr>
                  <m:sty m:val="p"/>
                </m:rPr>
                <m:t>−</m:t>
              </m:r>
            </m:oMath>
            <w:r>
              <w:t xml:space="preserve">80.0B reaffirm vs. cons $79.16B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29.35</m:t>
              </m:r>
              <m:r>
                <m:rPr>
                  <m:sty m:val="p"/>
                </m:rPr>
                <m:t>−</m:t>
              </m:r>
            </m:oMath>
            <w:r>
              <w:t xml:space="preserve">30.25 reaffirm vs. cons $30.04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$6.65B vs. cons $6.30B; mgmt reiterates upper-end confidence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Bookings (Q2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THAAD UCA drives bookings surge; backlog likely rebounds toward $190B+ vs. cons $171B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Margin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Mgmt confirms H2 margin ramp; Aeronautics recovery + MFC volume leverage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move up on FCF beat + backlog rebuild; H2 consensus rises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2026-07-25T02:01:09Z</dcterms:created>
  <dcterms:modified xsi:type="dcterms:W3CDTF">2026-07-25T02:01:09Z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