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Lockheed Martin Corporation (LMT)</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LMT</w:t>
            </w:r>
          </w:p>
        </w:tc>
        <w:tc>
          <w:tcPr>
            <w:tcW w:type="dxa" w:w="2160"/>
          </w:tcPr>
          <w:p>
            <w:r>
              <w:rPr>
                <w:rFonts w:ascii="Calibri" w:hAnsi="Calibri"/>
                <w:b/>
                <w:sz w:val="22"/>
              </w:rPr>
              <w:t>Earnings Date</w:t>
            </w:r>
          </w:p>
        </w:tc>
        <w:tc>
          <w:tcPr>
            <w:tcW w:type="dxa" w:w="2160"/>
          </w:tcPr>
          <w:p>
            <w:r>
              <w:rPr>
                <w:rFonts w:ascii="Calibri" w:hAnsi="Calibri"/>
                <w:sz w:val="22"/>
              </w:rPr>
              <w:t>July 23, 2026 (Pre-Market)</w:t>
            </w:r>
          </w:p>
        </w:tc>
      </w:tr>
      <w:tr>
        <w:tc>
          <w:tcPr>
            <w:tcW w:type="dxa" w:w="2160"/>
          </w:tcPr>
          <w:p>
            <w:r>
              <w:rPr>
                <w:rFonts w:ascii="Calibri" w:hAnsi="Calibri"/>
                <w:b/>
                <w:sz w:val="22"/>
              </w:rPr>
              <w:t>Prepared</w:t>
            </w:r>
          </w:p>
        </w:tc>
        <w:tc>
          <w:tcPr>
            <w:tcW w:type="dxa" w:w="2160"/>
          </w:tcPr>
          <w:p>
            <w:r>
              <w:rPr>
                <w:rFonts w:ascii="Calibri" w:hAnsi="Calibri"/>
                <w:sz w:val="22"/>
              </w:rPr>
              <w:t>July 22, 2026</w:t>
            </w:r>
          </w:p>
        </w:tc>
        <w:tc>
          <w:tcPr>
            <w:tcW w:type="dxa" w:w="2160"/>
          </w:tcPr>
          <w:p>
            <w:r>
              <w:rPr>
                <w:rFonts w:ascii="Calibri" w:hAnsi="Calibri"/>
                <w:b/>
                <w:sz w:val="22"/>
              </w:rPr>
              <w:t>Reporting Period</w:t>
            </w:r>
          </w:p>
        </w:tc>
        <w:tc>
          <w:tcPr>
            <w:tcW w:type="dxa" w:w="2160"/>
          </w:tcPr>
          <w:p>
            <w:r>
              <w:rPr>
                <w:rFonts w:ascii="Calibri" w:hAnsi="Calibri"/>
                <w:sz w:val="22"/>
              </w:rPr>
              <w:t>Q2 2026 (2QFY-2026, ending June 30, 2026)</w:t>
            </w:r>
          </w:p>
        </w:tc>
      </w:tr>
      <w:tr>
        <w:tc>
          <w:tcPr>
            <w:tcW w:type="dxa" w:w="2160"/>
          </w:tcPr>
          <w:p>
            <w:r>
              <w:rPr>
                <w:rFonts w:ascii="Calibri" w:hAnsi="Calibri"/>
                <w:b/>
                <w:sz w:val="22"/>
              </w:rPr>
              <w:t>Sector</w:t>
            </w:r>
          </w:p>
        </w:tc>
        <w:tc>
          <w:tcPr>
            <w:tcW w:type="dxa" w:w="2160"/>
          </w:tcPr>
          <w:p>
            <w:r>
              <w:rPr>
                <w:rFonts w:ascii="Calibri" w:hAnsi="Calibri"/>
                <w:sz w:val="22"/>
              </w:rPr>
              <w:t>Aerospace &amp; Defense</w:t>
            </w:r>
          </w:p>
        </w:tc>
        <w:tc>
          <w:tcPr>
            <w:tcW w:type="dxa" w:w="2160"/>
          </w:tcPr>
          <w:p>
            <w:r>
              <w:rPr>
                <w:rFonts w:ascii="Calibri" w:hAnsi="Calibri"/>
                <w:b/>
                <w:sz w:val="22"/>
              </w:rPr>
              <w:t>Sector ETF</w:t>
            </w:r>
          </w:p>
        </w:tc>
        <w:tc>
          <w:tcPr>
            <w:tcW w:type="dxa" w:w="2160"/>
          </w:tcPr>
          <w:p>
            <w:r>
              <w:rPr>
                <w:rFonts w:ascii="Calibri" w:hAnsi="Calibri"/>
                <w:sz w:val="22"/>
              </w:rPr>
              <w:t>ITA (iShares U.S. Aerospace &amp; Defense ETF)</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Setup is constructive but not a slam-dunk beat — consensus is a moderate bar on revenue and EPS, the biggest swing factor is whether </w:t>
      </w:r>
      <w:r>
        <w:rPr>
          <w:rFonts w:ascii="Calibri" w:hAnsi="Calibri"/>
          <w:b/>
          <w:color w:val="525866"/>
          <w:sz w:val="22"/>
        </w:rPr>
        <w:t>MFC missile ramp acceleration</w:t>
      </w:r>
      <w:r>
        <w:rPr>
          <w:rFonts w:ascii="Calibri" w:hAnsi="Calibri"/>
          <w:color w:val="525866"/>
          <w:sz w:val="22"/>
        </w:rPr>
        <w:t xml:space="preserve"> and improving Aeronautics margins can offset lingering RMS softness, with the $35B THAAD UCA and PAC-3 ramp providing a strong demand backdrop.</w:t>
      </w:r>
    </w:p>
    <w:p>
      <w:r>
        <w:rPr>
          <w:rFonts w:ascii="Calibri" w:hAnsi="Calibri"/>
          <w:color w:val="525866"/>
          <w:sz w:val="22"/>
        </w:rPr>
        <w:t xml:space="preserve">Heading into Q2 2026, the bar for LMT is achievable but not trivially low: consensus sits at roughly $19.3B in revenue (+6.5% YoY) and $7.31 in operating EPS (+12% YoY), both of which require a meaningful step-up from Q1's miss-driven trough. Management reaffirmed full-year 2026 guidance in full on the Q1 call — mid-single-digit sales growth, $8.4–8.7B segment profit, and $6.5–6.8B free cash flow — and explicitly guided for Q2 sales growth and sequential margin improvement, giving the Street a clear directional signal. Estimate revisions have been modestly positive since the Q1 print, with Q2 EPS moving from $7.18 to $7.31 and full-year EPS from $29.83 to $30.04, suggesting the Street has incrementally gained confidence in the ramp trajectory. The stock has underperformed ITA since the Q1 earnings day (down ~7% vs. ITA roughly flat), meaning LMT has not priced in a beat — the multiple is compressed relative to peers, offering asymmetric upside if execution improves. The key wildcard is the </w:t>
      </w:r>
      <w:r>
        <w:rPr>
          <w:rFonts w:ascii="Calibri" w:hAnsi="Calibri"/>
          <w:b/>
          <w:color w:val="525866"/>
          <w:sz w:val="22"/>
        </w:rPr>
        <w:t>$35 billion THAAD UCA awarded June 24</w:t>
      </w:r>
      <w:r>
        <w:rPr>
          <w:rFonts w:ascii="Calibri" w:hAnsi="Calibri"/>
          <w:color w:val="525866"/>
          <w:sz w:val="22"/>
        </w:rPr>
        <w:t xml:space="preserve"> and the PAC-3 ramp trajectory: if MFC can demonstrate accelerating revenue conversion from these landmark contracts, the stock could re-rate sharply; conversely, any new charges on classified Aeronautics or MFC programs would be the single biggest downside risk.</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revenue of $19.3B and operating EPS of $7.31 both require meaningful sequential improvement from Q1's miss; </w:t>
      </w:r>
      <w:r>
        <w:rPr>
          <w:rFonts w:ascii="Calibri" w:hAnsi="Calibri"/>
          <w:b/>
          <w:color w:val="525866"/>
          <w:sz w:val="22"/>
        </w:rPr>
        <w:t>MFC segment revenue and margin</w:t>
      </w:r>
      <w:r>
        <w:rPr>
          <w:rFonts w:ascii="Calibri" w:hAnsi="Calibri"/>
          <w:color w:val="525866"/>
          <w:sz w:val="22"/>
        </w:rPr>
        <w:t xml:space="preserve"> is the bigger swing factor given the missile ramp acceleration, while F-35 deliveries remain a secondary watch item.</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 (% delta)</w:t>
            </w:r>
          </w:p>
        </w:tc>
      </w:tr>
      <w:tr>
        <w:tc>
          <w:tcPr>
            <w:tcW w:type="dxa" w:w="1234"/>
          </w:tcPr>
          <w:p>
            <w:r>
              <w:rPr>
                <w:rFonts w:ascii="Calibri" w:hAnsi="Calibri"/>
                <w:sz w:val="22"/>
              </w:rPr>
              <w:t>Net Sales ($B)</w:t>
            </w:r>
          </w:p>
        </w:tc>
        <w:tc>
          <w:tcPr>
            <w:tcW w:type="dxa" w:w="1234"/>
          </w:tcPr>
          <w:p>
            <w:r>
              <w:rPr>
                <w:rFonts w:ascii="Calibri" w:hAnsi="Calibri"/>
                <w:sz w:val="22"/>
              </w:rPr>
              <w:t>$18.02B</w:t>
            </w:r>
          </w:p>
        </w:tc>
        <w:tc>
          <w:tcPr>
            <w:tcW w:type="dxa" w:w="1234"/>
          </w:tcPr>
          <w:p>
            <w:r>
              <w:rPr>
                <w:rFonts w:ascii="Calibri" w:hAnsi="Calibri"/>
                <w:sz w:val="22"/>
              </w:rPr>
              <w:t>$18.16B</w:t>
            </w:r>
          </w:p>
        </w:tc>
        <w:tc>
          <w:tcPr>
            <w:tcW w:type="dxa" w:w="1234"/>
          </w:tcPr>
          <w:p>
            <w:r>
              <w:rPr>
                <w:rFonts w:ascii="Calibri" w:hAnsi="Calibri"/>
                <w:sz w:val="22"/>
              </w:rPr>
              <w:t>$19.33B</w:t>
            </w:r>
          </w:p>
        </w:tc>
        <w:tc>
          <w:tcPr>
            <w:tcW w:type="dxa" w:w="1234"/>
          </w:tcPr>
          <w:p>
            <w:r>
              <w:rPr>
                <w:rFonts w:ascii="Calibri" w:hAnsi="Calibri"/>
                <w:sz w:val="22"/>
              </w:rPr>
              <w:t>+6.5%</w:t>
            </w:r>
          </w:p>
        </w:tc>
        <w:tc>
          <w:tcPr>
            <w:tcW w:type="dxa" w:w="1234"/>
          </w:tcPr>
          <w:p>
            <w:r>
              <w:rPr>
                <w:rFonts w:ascii="Calibri" w:hAnsi="Calibri"/>
                <w:sz w:val="22"/>
              </w:rPr>
              <w:t>$77.5B–$80.0B (mid: $78.75B)</w:t>
            </w:r>
          </w:p>
        </w:tc>
        <w:tc>
          <w:tcPr>
            <w:tcW w:type="dxa" w:w="1234"/>
          </w:tcPr>
          <w:p>
            <w:r>
              <w:rPr>
                <w:rFonts w:ascii="Calibri" w:hAnsi="Calibri"/>
                <w:sz w:val="22"/>
              </w:rPr>
              <w:t>FY cons. $79.16B; +0.5% above mid</w:t>
            </w:r>
          </w:p>
        </w:tc>
      </w:tr>
      <w:tr>
        <w:tc>
          <w:tcPr>
            <w:tcW w:type="dxa" w:w="1234"/>
          </w:tcPr>
          <w:p>
            <w:r>
              <w:rPr>
                <w:rFonts w:ascii="Calibri" w:hAnsi="Calibri"/>
                <w:sz w:val="22"/>
              </w:rPr>
              <w:t>Operating EPS (Diluted)</w:t>
            </w:r>
          </w:p>
        </w:tc>
        <w:tc>
          <w:tcPr>
            <w:tcW w:type="dxa" w:w="1234"/>
          </w:tcPr>
          <w:p>
            <w:r>
              <w:rPr>
                <w:rFonts w:ascii="Calibri" w:hAnsi="Calibri"/>
                <w:sz w:val="22"/>
              </w:rPr>
              <w:t>$6.44</w:t>
            </w:r>
          </w:p>
        </w:tc>
        <w:tc>
          <w:tcPr>
            <w:tcW w:type="dxa" w:w="1234"/>
          </w:tcPr>
          <w:p>
            <w:r>
              <w:rPr>
                <w:rFonts w:ascii="Calibri" w:hAnsi="Calibri"/>
                <w:sz w:val="22"/>
              </w:rPr>
              <w:t>$1.46</w:t>
            </w:r>
          </w:p>
        </w:tc>
        <w:tc>
          <w:tcPr>
            <w:tcW w:type="dxa" w:w="1234"/>
          </w:tcPr>
          <w:p>
            <w:r>
              <w:rPr>
                <w:rFonts w:ascii="Calibri" w:hAnsi="Calibri"/>
                <w:sz w:val="22"/>
              </w:rPr>
              <w:t>$7.31</w:t>
            </w:r>
          </w:p>
        </w:tc>
        <w:tc>
          <w:tcPr>
            <w:tcW w:type="dxa" w:w="1234"/>
          </w:tcPr>
          <w:p>
            <w:r>
              <w:rPr>
                <w:rFonts w:ascii="Calibri" w:hAnsi="Calibri"/>
                <w:sz w:val="22"/>
              </w:rPr>
              <w:t>+400% YoY (Q2 2025 had large charges)</w:t>
            </w:r>
          </w:p>
        </w:tc>
        <w:tc>
          <w:tcPr>
            <w:tcW w:type="dxa" w:w="1234"/>
          </w:tcPr>
          <w:p>
            <w:r>
              <w:rPr>
                <w:rFonts w:ascii="Calibri" w:hAnsi="Calibri"/>
                <w:sz w:val="22"/>
              </w:rPr>
              <w:t>$29.35–$30.25 (mid: $29.80)</w:t>
            </w:r>
          </w:p>
        </w:tc>
        <w:tc>
          <w:tcPr>
            <w:tcW w:type="dxa" w:w="1234"/>
          </w:tcPr>
          <w:p>
            <w:r>
              <w:rPr>
                <w:rFonts w:ascii="Calibri" w:hAnsi="Calibri"/>
                <w:sz w:val="22"/>
              </w:rPr>
              <w:t>FY cons. $30.04; +0.8% above mid</w:t>
            </w:r>
          </w:p>
        </w:tc>
      </w:tr>
      <w:tr>
        <w:tc>
          <w:tcPr>
            <w:tcW w:type="dxa" w:w="1234"/>
          </w:tcPr>
          <w:p>
            <w:r>
              <w:rPr>
                <w:rFonts w:ascii="Calibri" w:hAnsi="Calibri"/>
                <w:sz w:val="22"/>
              </w:rPr>
              <w:t>Free Cash Flow ($B)</w:t>
            </w:r>
          </w:p>
        </w:tc>
        <w:tc>
          <w:tcPr>
            <w:tcW w:type="dxa" w:w="1234"/>
          </w:tcPr>
          <w:p>
            <w:r>
              <w:rPr>
                <w:rFonts w:ascii="Calibri" w:hAnsi="Calibri"/>
                <w:sz w:val="22"/>
              </w:rPr>
              <w:t>-$0.29B</w:t>
            </w:r>
          </w:p>
        </w:tc>
        <w:tc>
          <w:tcPr>
            <w:tcW w:type="dxa" w:w="1234"/>
          </w:tcPr>
          <w:p>
            <w:r>
              <w:rPr>
                <w:rFonts w:ascii="Calibri" w:hAnsi="Calibri"/>
                <w:sz w:val="22"/>
              </w:rPr>
              <w:t>-$0.15B</w:t>
            </w:r>
          </w:p>
        </w:tc>
        <w:tc>
          <w:tcPr>
            <w:tcW w:type="dxa" w:w="1234"/>
          </w:tcPr>
          <w:p>
            <w:r>
              <w:rPr>
                <w:rFonts w:ascii="Calibri" w:hAnsi="Calibri"/>
                <w:sz w:val="22"/>
              </w:rPr>
              <w:t>$0.86B</w:t>
            </w:r>
          </w:p>
        </w:tc>
        <w:tc>
          <w:tcPr>
            <w:tcW w:type="dxa" w:w="1234"/>
          </w:tcPr>
          <w:p>
            <w:r>
              <w:rPr>
                <w:rFonts w:ascii="Calibri" w:hAnsi="Calibri"/>
                <w:sz w:val="22"/>
              </w:rPr>
              <w:t>N/M (both negative prior year)</w:t>
            </w:r>
          </w:p>
        </w:tc>
        <w:tc>
          <w:tcPr>
            <w:tcW w:type="dxa" w:w="1234"/>
          </w:tcPr>
          <w:p>
            <w:r>
              <w:rPr>
                <w:rFonts w:ascii="Calibri" w:hAnsi="Calibri"/>
                <w:sz w:val="22"/>
              </w:rPr>
              <w:t>$6.5B–$6.8B (mid: $6.65B)</w:t>
            </w:r>
          </w:p>
        </w:tc>
        <w:tc>
          <w:tcPr>
            <w:tcW w:type="dxa" w:w="1234"/>
          </w:tcPr>
          <w:p>
            <w:r>
              <w:rPr>
                <w:rFonts w:ascii="Calibri" w:hAnsi="Calibri"/>
                <w:sz w:val="22"/>
              </w:rPr>
              <w:t>FY cons. $6.30B; -5.3% below mid</w:t>
            </w:r>
          </w:p>
        </w:tc>
      </w:tr>
      <w:tr>
        <w:tc>
          <w:tcPr>
            <w:tcW w:type="dxa" w:w="1234"/>
          </w:tcPr>
          <w:p>
            <w:r>
              <w:rPr>
                <w:rFonts w:ascii="Calibri" w:hAnsi="Calibri"/>
                <w:sz w:val="22"/>
              </w:rPr>
              <w:t>Backlog ($B)</w:t>
            </w:r>
          </w:p>
        </w:tc>
        <w:tc>
          <w:tcPr>
            <w:tcW w:type="dxa" w:w="1234"/>
          </w:tcPr>
          <w:p>
            <w:r>
              <w:rPr>
                <w:rFonts w:ascii="Calibri" w:hAnsi="Calibri"/>
                <w:sz w:val="22"/>
              </w:rPr>
              <w:t>$186.4B</w:t>
            </w:r>
          </w:p>
        </w:tc>
        <w:tc>
          <w:tcPr>
            <w:tcW w:type="dxa" w:w="1234"/>
          </w:tcPr>
          <w:p>
            <w:r>
              <w:rPr>
                <w:rFonts w:ascii="Calibri" w:hAnsi="Calibri"/>
                <w:sz w:val="22"/>
              </w:rPr>
              <w:t>$166.5B</w:t>
            </w:r>
          </w:p>
        </w:tc>
        <w:tc>
          <w:tcPr>
            <w:tcW w:type="dxa" w:w="1234"/>
          </w:tcPr>
          <w:p>
            <w:r>
              <w:rPr>
                <w:rFonts w:ascii="Calibri" w:hAnsi="Calibri"/>
                <w:sz w:val="22"/>
              </w:rPr>
              <w:t>$171.2B</w:t>
            </w:r>
          </w:p>
        </w:tc>
        <w:tc>
          <w:tcPr>
            <w:tcW w:type="dxa" w:w="1234"/>
          </w:tcPr>
          <w:p>
            <w:r>
              <w:rPr>
                <w:rFonts w:ascii="Calibri" w:hAnsi="Calibri"/>
                <w:sz w:val="22"/>
              </w:rPr>
              <w:t>+2.8% YoY</w:t>
            </w:r>
          </w:p>
        </w:tc>
        <w:tc>
          <w:tcPr>
            <w:tcW w:type="dxa" w:w="1234"/>
          </w:tcPr>
          <w:p>
            <w:r>
              <w:rPr>
                <w:rFonts w:ascii="Calibri" w:hAnsi="Calibri"/>
                <w:sz w:val="22"/>
              </w:rPr>
              <w:t>FY cons. $180.5B</w:t>
            </w:r>
          </w:p>
        </w:tc>
        <w:tc>
          <w:tcPr>
            <w:tcW w:type="dxa" w:w="1234"/>
          </w:tcPr>
          <w:p>
            <w:r>
              <w:rPr>
                <w:rFonts w:ascii="Calibri" w:hAnsi="Calibri"/>
                <w:sz w:val="22"/>
              </w:rPr>
              <w:t>N/A — no quarterly guidance</w:t>
            </w:r>
          </w:p>
        </w:tc>
      </w:tr>
      <w:tr>
        <w:tc>
          <w:tcPr>
            <w:tcW w:type="dxa" w:w="1234"/>
          </w:tcPr>
          <w:p>
            <w:r>
              <w:rPr>
                <w:rFonts w:ascii="Calibri" w:hAnsi="Calibri"/>
                <w:sz w:val="22"/>
              </w:rPr>
              <w:t>Sales — Aeronautics ($B)</w:t>
            </w:r>
          </w:p>
        </w:tc>
        <w:tc>
          <w:tcPr>
            <w:tcW w:type="dxa" w:w="1234"/>
          </w:tcPr>
          <w:p>
            <w:r>
              <w:rPr>
                <w:rFonts w:ascii="Calibri" w:hAnsi="Calibri"/>
                <w:sz w:val="22"/>
              </w:rPr>
              <w:t>$6.95B</w:t>
            </w:r>
          </w:p>
        </w:tc>
        <w:tc>
          <w:tcPr>
            <w:tcW w:type="dxa" w:w="1234"/>
          </w:tcPr>
          <w:p>
            <w:r>
              <w:rPr>
                <w:rFonts w:ascii="Calibri" w:hAnsi="Calibri"/>
                <w:sz w:val="22"/>
              </w:rPr>
              <w:t>$7.42B</w:t>
            </w:r>
          </w:p>
        </w:tc>
        <w:tc>
          <w:tcPr>
            <w:tcW w:type="dxa" w:w="1234"/>
          </w:tcPr>
          <w:p>
            <w:r>
              <w:rPr>
                <w:rFonts w:ascii="Calibri" w:hAnsi="Calibri"/>
                <w:sz w:val="22"/>
              </w:rPr>
              <w:t>$7.59B</w:t>
            </w:r>
          </w:p>
        </w:tc>
        <w:tc>
          <w:tcPr>
            <w:tcW w:type="dxa" w:w="1234"/>
          </w:tcPr>
          <w:p>
            <w:r>
              <w:rPr>
                <w:rFonts w:ascii="Calibri" w:hAnsi="Calibri"/>
                <w:sz w:val="22"/>
              </w:rPr>
              <w:t>+2.3% YoY</w:t>
            </w:r>
          </w:p>
        </w:tc>
        <w:tc>
          <w:tcPr>
            <w:tcW w:type="dxa" w:w="1234"/>
          </w:tcPr>
          <w:p>
            <w:r>
              <w:rPr>
                <w:rFonts w:ascii="Calibri" w:hAnsi="Calibri"/>
                <w:sz w:val="22"/>
              </w:rPr>
              <w:t>FY cons. $31.09B</w:t>
            </w:r>
          </w:p>
        </w:tc>
        <w:tc>
          <w:tcPr>
            <w:tcW w:type="dxa" w:w="1234"/>
          </w:tcPr>
          <w:p>
            <w:r>
              <w:rPr>
                <w:rFonts w:ascii="Calibri" w:hAnsi="Calibri"/>
                <w:sz w:val="22"/>
              </w:rPr>
              <w:t>N/A — no segment guidance</w:t>
            </w:r>
          </w:p>
        </w:tc>
      </w:tr>
      <w:tr>
        <w:tc>
          <w:tcPr>
            <w:tcW w:type="dxa" w:w="1234"/>
          </w:tcPr>
          <w:p>
            <w:r>
              <w:rPr>
                <w:rFonts w:ascii="Calibri" w:hAnsi="Calibri"/>
                <w:sz w:val="22"/>
              </w:rPr>
              <w:t>Sales — MFC ($B)</w:t>
            </w:r>
          </w:p>
        </w:tc>
        <w:tc>
          <w:tcPr>
            <w:tcW w:type="dxa" w:w="1234"/>
          </w:tcPr>
          <w:p>
            <w:r>
              <w:rPr>
                <w:rFonts w:ascii="Calibri" w:hAnsi="Calibri"/>
                <w:sz w:val="22"/>
              </w:rPr>
              <w:t>$3.65B</w:t>
            </w:r>
          </w:p>
        </w:tc>
        <w:tc>
          <w:tcPr>
            <w:tcW w:type="dxa" w:w="1234"/>
          </w:tcPr>
          <w:p>
            <w:r>
              <w:rPr>
                <w:rFonts w:ascii="Calibri" w:hAnsi="Calibri"/>
                <w:sz w:val="22"/>
              </w:rPr>
              <w:t>$3.43B</w:t>
            </w:r>
          </w:p>
        </w:tc>
        <w:tc>
          <w:tcPr>
            <w:tcW w:type="dxa" w:w="1234"/>
          </w:tcPr>
          <w:p>
            <w:r>
              <w:rPr>
                <w:rFonts w:ascii="Calibri" w:hAnsi="Calibri"/>
                <w:sz w:val="22"/>
              </w:rPr>
              <w:t>$4.02B</w:t>
            </w:r>
          </w:p>
        </w:tc>
        <w:tc>
          <w:tcPr>
            <w:tcW w:type="dxa" w:w="1234"/>
          </w:tcPr>
          <w:p>
            <w:r>
              <w:rPr>
                <w:rFonts w:ascii="Calibri" w:hAnsi="Calibri"/>
                <w:sz w:val="22"/>
              </w:rPr>
              <w:t>+17.2% YoY</w:t>
            </w:r>
          </w:p>
        </w:tc>
        <w:tc>
          <w:tcPr>
            <w:tcW w:type="dxa" w:w="1234"/>
          </w:tcPr>
          <w:p>
            <w:r>
              <w:rPr>
                <w:rFonts w:ascii="Calibri" w:hAnsi="Calibri"/>
                <w:sz w:val="22"/>
              </w:rPr>
              <w:t>FY cons. $16.70B</w:t>
            </w:r>
          </w:p>
        </w:tc>
        <w:tc>
          <w:tcPr>
            <w:tcW w:type="dxa" w:w="1234"/>
          </w:tcPr>
          <w:p>
            <w:r>
              <w:rPr>
                <w:rFonts w:ascii="Calibri" w:hAnsi="Calibri"/>
                <w:sz w:val="22"/>
              </w:rPr>
              <w:t>N/A — no segment guidance</w:t>
            </w:r>
          </w:p>
        </w:tc>
      </w:tr>
      <w:tr>
        <w:tc>
          <w:tcPr>
            <w:tcW w:type="dxa" w:w="1234"/>
          </w:tcPr>
          <w:p>
            <w:r>
              <w:rPr>
                <w:rFonts w:ascii="Calibri" w:hAnsi="Calibri"/>
                <w:sz w:val="22"/>
              </w:rPr>
              <w:t>Sales — RMS ($B)</w:t>
            </w:r>
          </w:p>
        </w:tc>
        <w:tc>
          <w:tcPr>
            <w:tcW w:type="dxa" w:w="1234"/>
          </w:tcPr>
          <w:p>
            <w:r>
              <w:rPr>
                <w:rFonts w:ascii="Calibri" w:hAnsi="Calibri"/>
                <w:sz w:val="22"/>
              </w:rPr>
              <w:t>$3.99B</w:t>
            </w:r>
          </w:p>
        </w:tc>
        <w:tc>
          <w:tcPr>
            <w:tcW w:type="dxa" w:w="1234"/>
          </w:tcPr>
          <w:p>
            <w:r>
              <w:rPr>
                <w:rFonts w:ascii="Calibri" w:hAnsi="Calibri"/>
                <w:sz w:val="22"/>
              </w:rPr>
              <w:t>$4.00B</w:t>
            </w:r>
          </w:p>
        </w:tc>
        <w:tc>
          <w:tcPr>
            <w:tcW w:type="dxa" w:w="1234"/>
          </w:tcPr>
          <w:p>
            <w:r>
              <w:rPr>
                <w:rFonts w:ascii="Calibri" w:hAnsi="Calibri"/>
                <w:sz w:val="22"/>
              </w:rPr>
              <w:t>$4.25B</w:t>
            </w:r>
          </w:p>
        </w:tc>
        <w:tc>
          <w:tcPr>
            <w:tcW w:type="dxa" w:w="1234"/>
          </w:tcPr>
          <w:p>
            <w:r>
              <w:rPr>
                <w:rFonts w:ascii="Calibri" w:hAnsi="Calibri"/>
                <w:sz w:val="22"/>
              </w:rPr>
              <w:t>+6.4% YoY</w:t>
            </w:r>
          </w:p>
        </w:tc>
        <w:tc>
          <w:tcPr>
            <w:tcW w:type="dxa" w:w="1234"/>
          </w:tcPr>
          <w:p>
            <w:r>
              <w:rPr>
                <w:rFonts w:ascii="Calibri" w:hAnsi="Calibri"/>
                <w:sz w:val="22"/>
              </w:rPr>
              <w:t>FY cons. $17.60B</w:t>
            </w:r>
          </w:p>
        </w:tc>
        <w:tc>
          <w:tcPr>
            <w:tcW w:type="dxa" w:w="1234"/>
          </w:tcPr>
          <w:p>
            <w:r>
              <w:rPr>
                <w:rFonts w:ascii="Calibri" w:hAnsi="Calibri"/>
                <w:sz w:val="22"/>
              </w:rPr>
              <w:t>N/A — no segment guidance</w:t>
            </w:r>
          </w:p>
        </w:tc>
      </w:tr>
      <w:tr>
        <w:tc>
          <w:tcPr>
            <w:tcW w:type="dxa" w:w="1234"/>
          </w:tcPr>
          <w:p>
            <w:r>
              <w:rPr>
                <w:rFonts w:ascii="Calibri" w:hAnsi="Calibri"/>
                <w:sz w:val="22"/>
              </w:rPr>
              <w:t>Sales — Space ($B)</w:t>
            </w:r>
          </w:p>
        </w:tc>
        <w:tc>
          <w:tcPr>
            <w:tcW w:type="dxa" w:w="1234"/>
          </w:tcPr>
          <w:p>
            <w:r>
              <w:rPr>
                <w:rFonts w:ascii="Calibri" w:hAnsi="Calibri"/>
                <w:sz w:val="22"/>
              </w:rPr>
              <w:t>$3.43B</w:t>
            </w:r>
          </w:p>
        </w:tc>
        <w:tc>
          <w:tcPr>
            <w:tcW w:type="dxa" w:w="1234"/>
          </w:tcPr>
          <w:p>
            <w:r>
              <w:rPr>
                <w:rFonts w:ascii="Calibri" w:hAnsi="Calibri"/>
                <w:sz w:val="22"/>
              </w:rPr>
              <w:t>$3.31B</w:t>
            </w:r>
          </w:p>
        </w:tc>
        <w:tc>
          <w:tcPr>
            <w:tcW w:type="dxa" w:w="1234"/>
          </w:tcPr>
          <w:p>
            <w:r>
              <w:rPr>
                <w:rFonts w:ascii="Calibri" w:hAnsi="Calibri"/>
                <w:sz w:val="22"/>
              </w:rPr>
              <w:t>$3.45B</w:t>
            </w:r>
          </w:p>
        </w:tc>
        <w:tc>
          <w:tcPr>
            <w:tcW w:type="dxa" w:w="1234"/>
          </w:tcPr>
          <w:p>
            <w:r>
              <w:rPr>
                <w:rFonts w:ascii="Calibri" w:hAnsi="Calibri"/>
                <w:sz w:val="22"/>
              </w:rPr>
              <w:t>+4.4% YoY</w:t>
            </w:r>
          </w:p>
        </w:tc>
        <w:tc>
          <w:tcPr>
            <w:tcW w:type="dxa" w:w="1234"/>
          </w:tcPr>
          <w:p>
            <w:r>
              <w:rPr>
                <w:rFonts w:ascii="Calibri" w:hAnsi="Calibri"/>
                <w:sz w:val="22"/>
              </w:rPr>
              <w:t>FY cons. $13.77B</w:t>
            </w:r>
          </w:p>
        </w:tc>
        <w:tc>
          <w:tcPr>
            <w:tcW w:type="dxa" w:w="1234"/>
          </w:tcPr>
          <w:p>
            <w:r>
              <w:rPr>
                <w:rFonts w:ascii="Calibri" w:hAnsi="Calibri"/>
                <w:sz w:val="22"/>
              </w:rPr>
              <w:t>N/A — no segment guidance</w:t>
            </w:r>
          </w:p>
        </w:tc>
      </w:tr>
      <w:tr>
        <w:tc>
          <w:tcPr>
            <w:tcW w:type="dxa" w:w="1234"/>
          </w:tcPr>
          <w:p>
            <w:r>
              <w:rPr>
                <w:rFonts w:ascii="Calibri" w:hAnsi="Calibri"/>
                <w:sz w:val="22"/>
              </w:rPr>
              <w:t>F-35 Deliveries (#)</w:t>
            </w:r>
          </w:p>
        </w:tc>
        <w:tc>
          <w:tcPr>
            <w:tcW w:type="dxa" w:w="1234"/>
          </w:tcPr>
          <w:p>
            <w:r>
              <w:rPr>
                <w:rFonts w:ascii="Calibri" w:hAnsi="Calibri"/>
                <w:sz w:val="22"/>
              </w:rPr>
              <w:t>32</w:t>
            </w:r>
          </w:p>
        </w:tc>
        <w:tc>
          <w:tcPr>
            <w:tcW w:type="dxa" w:w="1234"/>
          </w:tcPr>
          <w:p>
            <w:r>
              <w:rPr>
                <w:rFonts w:ascii="Calibri" w:hAnsi="Calibri"/>
                <w:sz w:val="22"/>
              </w:rPr>
              <w:t>50</w:t>
            </w:r>
          </w:p>
        </w:tc>
        <w:tc>
          <w:tcPr>
            <w:tcW w:type="dxa" w:w="1234"/>
          </w:tcPr>
          <w:p>
            <w:r>
              <w:rPr>
                <w:rFonts w:ascii="Calibri" w:hAnsi="Calibri"/>
                <w:sz w:val="22"/>
              </w:rPr>
              <w:t>~46</w:t>
            </w:r>
          </w:p>
        </w:tc>
        <w:tc>
          <w:tcPr>
            <w:tcW w:type="dxa" w:w="1234"/>
          </w:tcPr>
          <w:p>
            <w:r>
              <w:rPr>
                <w:rFonts w:ascii="Calibri" w:hAnsi="Calibri"/>
                <w:sz w:val="22"/>
              </w:rPr>
              <w:t>-8% YoY</w:t>
            </w:r>
          </w:p>
        </w:tc>
        <w:tc>
          <w:tcPr>
            <w:tcW w:type="dxa" w:w="1234"/>
          </w:tcPr>
          <w:p>
            <w:r>
              <w:rPr>
                <w:rFonts w:ascii="Calibri" w:hAnsi="Calibri"/>
                <w:sz w:val="22"/>
              </w:rPr>
              <w:t>FY cons. 168</w:t>
            </w:r>
          </w:p>
        </w:tc>
        <w:tc>
          <w:tcPr>
            <w:tcW w:type="dxa" w:w="1234"/>
          </w:tcPr>
          <w:p>
            <w:r>
              <w:rPr>
                <w:rFonts w:ascii="Calibri" w:hAnsi="Calibri"/>
                <w:sz w:val="22"/>
              </w:rPr>
              <w:t>N/A — no delivery guidance</w:t>
            </w:r>
          </w:p>
        </w:tc>
      </w:tr>
    </w:tbl>
    <w:p>
      <w:r>
        <w:rPr>
          <w:rFonts w:ascii="Calibri" w:hAnsi="Calibri"/>
          <w:i/>
          <w:color w:val="525866"/>
          <w:sz w:val="22"/>
        </w:rPr>
        <w:t>Sources: Visible Alpha Consensus and Actuals Data. Net Sales, EPS-Diluted - Operating, Free Cash Flow, Backlog, segment sales, and F-35 deliveries sourced from Visible Alpha. FY 2026 guidance from LMT Q1 2026 earnings call (April 23, 2026). Q2 2025 Operating EPS of $1.46 reflects large non-recurring charges in that period.</w:t>
      </w:r>
    </w:p>
    <w:p>
      <w:pPr>
        <w:pStyle w:val="Heading3"/>
      </w:pPr>
      <w:r>
        <w:rPr>
          <w:rFonts w:ascii="Calibri" w:hAnsi="Calibri"/>
          <w:b/>
          <w:color w:val="3B4259"/>
          <w:sz w:val="24"/>
        </w:rPr>
        <w:t>Table 2 — Beat/Miss History (Last 8 Quarters, Top 2 KPIs: Net Sales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$18.02B</w:t>
            </w:r>
          </w:p>
        </w:tc>
        <w:tc>
          <w:tcPr>
            <w:tcW w:type="dxa" w:w="1440"/>
          </w:tcPr>
          <w:p>
            <w:r>
              <w:rPr>
                <w:rFonts w:ascii="Calibri" w:hAnsi="Calibri"/>
                <w:sz w:val="22"/>
              </w:rPr>
              <w:t>$18.19B</w:t>
            </w:r>
          </w:p>
        </w:tc>
        <w:tc>
          <w:tcPr>
            <w:tcW w:type="dxa" w:w="1440"/>
          </w:tcPr>
          <w:p>
            <w:r>
              <w:rPr>
                <w:rFonts w:ascii="Calibri" w:hAnsi="Calibri"/>
                <w:sz w:val="22"/>
              </w:rPr>
              <w:t>-0.9%</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$6.44</w:t>
            </w:r>
          </w:p>
        </w:tc>
        <w:tc>
          <w:tcPr>
            <w:tcW w:type="dxa" w:w="1440"/>
          </w:tcPr>
          <w:p>
            <w:r>
              <w:rPr>
                <w:rFonts w:ascii="Calibri" w:hAnsi="Calibri"/>
                <w:sz w:val="22"/>
              </w:rPr>
              <w:t>$6.59</w:t>
            </w:r>
          </w:p>
        </w:tc>
        <w:tc>
          <w:tcPr>
            <w:tcW w:type="dxa" w:w="1440"/>
          </w:tcPr>
          <w:p>
            <w:r>
              <w:rPr>
                <w:rFonts w:ascii="Calibri" w:hAnsi="Calibri"/>
                <w:sz w:val="22"/>
              </w:rPr>
              <w:t>-2.3%</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$20.32B</w:t>
            </w:r>
          </w:p>
        </w:tc>
        <w:tc>
          <w:tcPr>
            <w:tcW w:type="dxa" w:w="1440"/>
          </w:tcPr>
          <w:p>
            <w:r>
              <w:rPr>
                <w:rFonts w:ascii="Calibri" w:hAnsi="Calibri"/>
                <w:sz w:val="22"/>
              </w:rPr>
              <w:t>$19.84B</w:t>
            </w:r>
          </w:p>
        </w:tc>
        <w:tc>
          <w:tcPr>
            <w:tcW w:type="dxa" w:w="1440"/>
          </w:tcPr>
          <w:p>
            <w:r>
              <w:rPr>
                <w:rFonts w:ascii="Calibri" w:hAnsi="Calibri"/>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$5.80</w:t>
            </w:r>
          </w:p>
        </w:tc>
        <w:tc>
          <w:tcPr>
            <w:tcW w:type="dxa" w:w="1440"/>
          </w:tcPr>
          <w:p>
            <w:r>
              <w:rPr>
                <w:rFonts w:ascii="Calibri" w:hAnsi="Calibri"/>
                <w:sz w:val="22"/>
              </w:rPr>
              <w:t>$5.45</w:t>
            </w:r>
          </w:p>
        </w:tc>
        <w:tc>
          <w:tcPr>
            <w:tcW w:type="dxa" w:w="1440"/>
          </w:tcPr>
          <w:p>
            <w:r>
              <w:rPr>
                <w:rFonts w:ascii="Calibri" w:hAnsi="Calibri"/>
                <w:sz w:val="22"/>
              </w:rPr>
              <w:t>+6.4%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$18.61B</w:t>
            </w:r>
          </w:p>
        </w:tc>
        <w:tc>
          <w:tcPr>
            <w:tcW w:type="dxa" w:w="1440"/>
          </w:tcPr>
          <w:p>
            <w:r>
              <w:rPr>
                <w:rFonts w:ascii="Calibri" w:hAnsi="Calibri"/>
                <w:sz w:val="22"/>
              </w:rPr>
              <w:t>$18.55B</w:t>
            </w:r>
          </w:p>
        </w:tc>
        <w:tc>
          <w:tcPr>
            <w:tcW w:type="dxa" w:w="1440"/>
          </w:tcPr>
          <w:p>
            <w:r>
              <w:rPr>
                <w:rFonts w:ascii="Calibri" w:hAnsi="Calibri"/>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$6.95</w:t>
            </w:r>
          </w:p>
        </w:tc>
        <w:tc>
          <w:tcPr>
            <w:tcW w:type="dxa" w:w="1440"/>
          </w:tcPr>
          <w:p>
            <w:r>
              <w:rPr>
                <w:rFonts w:ascii="Calibri" w:hAnsi="Calibri"/>
                <w:sz w:val="22"/>
              </w:rPr>
              <w:t>$6.43</w:t>
            </w:r>
          </w:p>
        </w:tc>
        <w:tc>
          <w:tcPr>
            <w:tcW w:type="dxa" w:w="1440"/>
          </w:tcPr>
          <w:p>
            <w:r>
              <w:rPr>
                <w:rFonts w:ascii="Calibri" w:hAnsi="Calibri"/>
                <w:sz w:val="22"/>
              </w:rPr>
              <w:t>+8.1%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$18.16B</w:t>
            </w:r>
          </w:p>
        </w:tc>
        <w:tc>
          <w:tcPr>
            <w:tcW w:type="dxa" w:w="1440"/>
          </w:tcPr>
          <w:p>
            <w:r>
              <w:rPr>
                <w:rFonts w:ascii="Calibri" w:hAnsi="Calibri"/>
                <w:sz w:val="22"/>
              </w:rPr>
              <w:t>$18.59B</w:t>
            </w:r>
          </w:p>
        </w:tc>
        <w:tc>
          <w:tcPr>
            <w:tcW w:type="dxa" w:w="1440"/>
          </w:tcPr>
          <w:p>
            <w:r>
              <w:rPr>
                <w:rFonts w:ascii="Calibri" w:hAnsi="Calibri"/>
                <w:sz w:val="22"/>
              </w:rPr>
              <w:t>-2.3%</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$1.46</w:t>
            </w:r>
          </w:p>
        </w:tc>
        <w:tc>
          <w:tcPr>
            <w:tcW w:type="dxa" w:w="1440"/>
          </w:tcPr>
          <w:p>
            <w:r>
              <w:rPr>
                <w:rFonts w:ascii="Calibri" w:hAnsi="Calibri"/>
                <w:sz w:val="22"/>
              </w:rPr>
              <w:t>$6.52</w:t>
            </w:r>
          </w:p>
        </w:tc>
        <w:tc>
          <w:tcPr>
            <w:tcW w:type="dxa" w:w="1440"/>
          </w:tcPr>
          <w:p>
            <w:r>
              <w:rPr>
                <w:rFonts w:ascii="Calibri" w:hAnsi="Calibri"/>
                <w:sz w:val="22"/>
              </w:rPr>
              <w:t>-77.6%</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$17.96B</w:t>
            </w:r>
          </w:p>
        </w:tc>
        <w:tc>
          <w:tcPr>
            <w:tcW w:type="dxa" w:w="1440"/>
          </w:tcPr>
          <w:p>
            <w:r>
              <w:rPr>
                <w:rFonts w:ascii="Calibri" w:hAnsi="Calibri"/>
                <w:sz w:val="22"/>
              </w:rPr>
              <w:t>$17.76B</w:t>
            </w:r>
          </w:p>
        </w:tc>
        <w:tc>
          <w:tcPr>
            <w:tcW w:type="dxa" w:w="1440"/>
          </w:tcPr>
          <w:p>
            <w:r>
              <w:rPr>
                <w:rFonts w:ascii="Calibri" w:hAnsi="Calibri"/>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$7.28</w:t>
            </w:r>
          </w:p>
        </w:tc>
        <w:tc>
          <w:tcPr>
            <w:tcW w:type="dxa" w:w="1440"/>
          </w:tcPr>
          <w:p>
            <w:r>
              <w:rPr>
                <w:rFonts w:ascii="Calibri" w:hAnsi="Calibri"/>
                <w:sz w:val="22"/>
              </w:rPr>
              <w:t>$6.31</w:t>
            </w:r>
          </w:p>
        </w:tc>
        <w:tc>
          <w:tcPr>
            <w:tcW w:type="dxa" w:w="1440"/>
          </w:tcPr>
          <w:p>
            <w:r>
              <w:rPr>
                <w:rFonts w:ascii="Calibri" w:hAnsi="Calibri"/>
                <w:sz w:val="22"/>
              </w:rPr>
              <w:t>+15.4%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$18.62B</w:t>
            </w:r>
          </w:p>
        </w:tc>
        <w:tc>
          <w:tcPr>
            <w:tcW w:type="dxa" w:w="1440"/>
          </w:tcPr>
          <w:p>
            <w:r>
              <w:rPr>
                <w:rFonts w:ascii="Calibri" w:hAnsi="Calibri"/>
                <w:sz w:val="22"/>
              </w:rPr>
              <w:t>$18.86B</w:t>
            </w:r>
          </w:p>
        </w:tc>
        <w:tc>
          <w:tcPr>
            <w:tcW w:type="dxa" w:w="1440"/>
          </w:tcPr>
          <w:p>
            <w:r>
              <w:rPr>
                <w:rFonts w:ascii="Calibri" w:hAnsi="Calibri"/>
                <w:sz w:val="22"/>
              </w:rPr>
              <w:t>-1.3%</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$7.71</w:t>
            </w:r>
          </w:p>
        </w:tc>
        <w:tc>
          <w:tcPr>
            <w:tcW w:type="dxa" w:w="1440"/>
          </w:tcPr>
          <w:p>
            <w:r>
              <w:rPr>
                <w:rFonts w:ascii="Calibri" w:hAnsi="Calibri"/>
                <w:sz w:val="22"/>
              </w:rPr>
              <w:t>$6.62</w:t>
            </w:r>
          </w:p>
        </w:tc>
        <w:tc>
          <w:tcPr>
            <w:tcW w:type="dxa" w:w="1440"/>
          </w:tcPr>
          <w:p>
            <w:r>
              <w:rPr>
                <w:rFonts w:ascii="Calibri" w:hAnsi="Calibri"/>
                <w:sz w:val="22"/>
              </w:rPr>
              <w:t>+16.4%</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$17.10B</w:t>
            </w:r>
          </w:p>
        </w:tc>
        <w:tc>
          <w:tcPr>
            <w:tcW w:type="dxa" w:w="1440"/>
          </w:tcPr>
          <w:p>
            <w:r>
              <w:rPr>
                <w:rFonts w:ascii="Calibri" w:hAnsi="Calibri"/>
                <w:sz w:val="22"/>
              </w:rPr>
              <w:t>$17.38B</w:t>
            </w:r>
          </w:p>
        </w:tc>
        <w:tc>
          <w:tcPr>
            <w:tcW w:type="dxa" w:w="1440"/>
          </w:tcPr>
          <w:p>
            <w:r>
              <w:rPr>
                <w:rFonts w:ascii="Calibri" w:hAnsi="Calibri"/>
                <w:sz w:val="22"/>
              </w:rPr>
              <w:t>-1.6%</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$6.84</w:t>
            </w:r>
          </w:p>
        </w:tc>
        <w:tc>
          <w:tcPr>
            <w:tcW w:type="dxa" w:w="1440"/>
          </w:tcPr>
          <w:p>
            <w:r>
              <w:rPr>
                <w:rFonts w:ascii="Calibri" w:hAnsi="Calibri"/>
                <w:sz w:val="22"/>
              </w:rPr>
              <w:t>$6.61</w:t>
            </w:r>
          </w:p>
        </w:tc>
        <w:tc>
          <w:tcPr>
            <w:tcW w:type="dxa" w:w="1440"/>
          </w:tcPr>
          <w:p>
            <w:r>
              <w:rPr>
                <w:rFonts w:ascii="Calibri" w:hAnsi="Calibri"/>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$18.12B</w:t>
            </w:r>
          </w:p>
        </w:tc>
        <w:tc>
          <w:tcPr>
            <w:tcW w:type="dxa" w:w="1440"/>
          </w:tcPr>
          <w:p>
            <w:r>
              <w:rPr>
                <w:rFonts w:ascii="Calibri" w:hAnsi="Calibri"/>
                <w:sz w:val="22"/>
              </w:rPr>
              <w:t>$17.03B</w:t>
            </w:r>
          </w:p>
        </w:tc>
        <w:tc>
          <w:tcPr>
            <w:tcW w:type="dxa" w:w="1440"/>
          </w:tcPr>
          <w:p>
            <w:r>
              <w:rPr>
                <w:rFonts w:ascii="Calibri" w:hAnsi="Calibri"/>
                <w:sz w:val="22"/>
              </w:rPr>
              <w:t>+6.4%</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Op. EPS</w:t>
            </w:r>
          </w:p>
        </w:tc>
        <w:tc>
          <w:tcPr>
            <w:tcW w:type="dxa" w:w="1440"/>
          </w:tcPr>
          <w:p>
            <w:r>
              <w:rPr>
                <w:rFonts w:ascii="Calibri" w:hAnsi="Calibri"/>
                <w:sz w:val="22"/>
              </w:rPr>
              <w:t>$7.11</w:t>
            </w:r>
          </w:p>
        </w:tc>
        <w:tc>
          <w:tcPr>
            <w:tcW w:type="dxa" w:w="1440"/>
          </w:tcPr>
          <w:p>
            <w:r>
              <w:rPr>
                <w:rFonts w:ascii="Calibri" w:hAnsi="Calibri"/>
                <w:sz w:val="22"/>
              </w:rPr>
              <w:t>$6.46</w:t>
            </w:r>
          </w:p>
        </w:tc>
        <w:tc>
          <w:tcPr>
            <w:tcW w:type="dxa" w:w="1440"/>
          </w:tcPr>
          <w:p>
            <w:r>
              <w:rPr>
                <w:rFonts w:ascii="Calibri" w:hAnsi="Calibri"/>
                <w:sz w:val="22"/>
              </w:rPr>
              <w:t>+10.1%</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LMT has beaten operating EPS consensus in 6 of the last 8 quarters, with the two misses (Q2 2025 and Q1 2026) driven by large non-recurring charges and one-time items rather than underlying business deterioration. Revenue beats are less consistent (4 of 8), with misses typically modest (-1% to -2%). The EPS beat rate is strong when stripping out charge-driven quarters, suggesting the bar is beatable if execution is clean.</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print — Q2 EPS up +1.8% and FY EPS up +0.7% — suggesting the Street has incrementally gained confidence in the ramp; however, </w:t>
      </w:r>
      <w:r>
        <w:rPr>
          <w:rFonts w:ascii="Calibri" w:hAnsi="Calibri"/>
          <w:b/>
          <w:color w:val="525866"/>
          <w:sz w:val="22"/>
        </w:rPr>
        <w:t>free cash flow consensus remains well below guidance midpoint</w:t>
      </w:r>
      <w:r>
        <w:rPr>
          <w:rFonts w:ascii="Calibri" w:hAnsi="Calibri"/>
          <w:color w:val="525866"/>
          <w:sz w:val="22"/>
        </w:rPr>
        <w:t xml:space="preserve"> (-5.3%), representing the most meaningful gap and a potential source of upside surprise if the ERP billing resolution and CAMT tailwind materialize as guided.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28, 2026 (Post-Q1 Baseline)</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Net Sales — Q2 2026</w:t>
            </w:r>
          </w:p>
        </w:tc>
        <w:tc>
          <w:tcPr>
            <w:tcW w:type="dxa" w:w="1080"/>
          </w:tcPr>
          <w:p>
            <w:r>
              <w:rPr>
                <w:rFonts w:ascii="Calibri" w:hAnsi="Calibri"/>
                <w:sz w:val="22"/>
              </w:rPr>
              <w:t>$19.30B</w:t>
            </w:r>
          </w:p>
        </w:tc>
        <w:tc>
          <w:tcPr>
            <w:tcW w:type="dxa" w:w="1080"/>
          </w:tcPr>
          <w:p>
            <w:r>
              <w:rPr>
                <w:rFonts w:ascii="Calibri" w:hAnsi="Calibri"/>
                <w:sz w:val="22"/>
              </w:rPr>
              <w:t>$19.33B</w:t>
            </w:r>
          </w:p>
        </w:tc>
        <w:tc>
          <w:tcPr>
            <w:tcW w:type="dxa" w:w="1080"/>
          </w:tcPr>
          <w:p>
            <w:r>
              <w:rPr>
                <w:rFonts w:ascii="Calibri" w:hAnsi="Calibri"/>
                <w:sz w:val="22"/>
              </w:rPr>
              <w:t>+0.2%</w:t>
            </w:r>
          </w:p>
        </w:tc>
        <w:tc>
          <w:tcPr>
            <w:tcW w:type="dxa" w:w="1080"/>
          </w:tcPr>
          <w:p>
            <w:r>
              <w:rPr>
                <w:rFonts w:ascii="Calibri" w:hAnsi="Calibri"/>
                <w:sz w:val="22"/>
              </w:rPr>
              <w:t>Growth in Q2 (directional)</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no Q2 point guidance</w:t>
            </w:r>
          </w:p>
        </w:tc>
      </w:tr>
      <w:tr>
        <w:tc>
          <w:tcPr>
            <w:tcW w:type="dxa" w:w="1080"/>
          </w:tcPr>
          <w:p>
            <w:r>
              <w:rPr>
                <w:rFonts w:ascii="Calibri" w:hAnsi="Calibri"/>
                <w:sz w:val="22"/>
              </w:rPr>
              <w:t>Net Sales — FY 2026</w:t>
            </w:r>
          </w:p>
        </w:tc>
        <w:tc>
          <w:tcPr>
            <w:tcW w:type="dxa" w:w="1080"/>
          </w:tcPr>
          <w:p>
            <w:r>
              <w:rPr>
                <w:rFonts w:ascii="Calibri" w:hAnsi="Calibri"/>
                <w:sz w:val="22"/>
              </w:rPr>
              <w:t>$79.11B</w:t>
            </w:r>
          </w:p>
        </w:tc>
        <w:tc>
          <w:tcPr>
            <w:tcW w:type="dxa" w:w="1080"/>
          </w:tcPr>
          <w:p>
            <w:r>
              <w:rPr>
                <w:rFonts w:ascii="Calibri" w:hAnsi="Calibri"/>
                <w:sz w:val="22"/>
              </w:rPr>
              <w:t>$79.16B</w:t>
            </w:r>
          </w:p>
        </w:tc>
        <w:tc>
          <w:tcPr>
            <w:tcW w:type="dxa" w:w="1080"/>
          </w:tcPr>
          <w:p>
            <w:r>
              <w:rPr>
                <w:rFonts w:ascii="Calibri" w:hAnsi="Calibri"/>
                <w:sz w:val="22"/>
              </w:rPr>
              <w:t>+0.1%</w:t>
            </w:r>
          </w:p>
        </w:tc>
        <w:tc>
          <w:tcPr>
            <w:tcW w:type="dxa" w:w="1080"/>
          </w:tcPr>
          <w:p>
            <w:r>
              <w:rPr>
                <w:rFonts w:ascii="Calibri" w:hAnsi="Calibri"/>
                <w:sz w:val="22"/>
              </w:rPr>
              <w:t>$77.5B–$80.0B (mid $78.75B)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w:t>
            </w:r>
          </w:p>
        </w:tc>
      </w:tr>
      <w:tr>
        <w:tc>
          <w:tcPr>
            <w:tcW w:type="dxa" w:w="1080"/>
          </w:tcPr>
          <w:p>
            <w:r>
              <w:rPr>
                <w:rFonts w:ascii="Calibri" w:hAnsi="Calibri"/>
                <w:sz w:val="22"/>
              </w:rPr>
              <w:t>Op. EPS — Q2 2026</w:t>
            </w:r>
          </w:p>
        </w:tc>
        <w:tc>
          <w:tcPr>
            <w:tcW w:type="dxa" w:w="1080"/>
          </w:tcPr>
          <w:p>
            <w:r>
              <w:rPr>
                <w:rFonts w:ascii="Calibri" w:hAnsi="Calibri"/>
                <w:sz w:val="22"/>
              </w:rPr>
              <w:t>$7.18</w:t>
            </w:r>
          </w:p>
        </w:tc>
        <w:tc>
          <w:tcPr>
            <w:tcW w:type="dxa" w:w="1080"/>
          </w:tcPr>
          <w:p>
            <w:r>
              <w:rPr>
                <w:rFonts w:ascii="Calibri" w:hAnsi="Calibri"/>
                <w:sz w:val="22"/>
              </w:rPr>
              <w:t>$7.31</w:t>
            </w:r>
          </w:p>
        </w:tc>
        <w:tc>
          <w:tcPr>
            <w:tcW w:type="dxa" w:w="1080"/>
          </w:tcPr>
          <w:p>
            <w:r>
              <w:rPr>
                <w:rFonts w:ascii="Calibri" w:hAnsi="Calibri"/>
                <w:b/>
                <w:color w:val="30A46C"/>
                <w:sz w:val="22"/>
              </w:rPr>
              <w:t>+1.8%</w:t>
            </w:r>
          </w:p>
        </w:tc>
        <w:tc>
          <w:tcPr>
            <w:tcW w:type="dxa" w:w="1080"/>
          </w:tcPr>
          <w:p>
            <w:r>
              <w:rPr>
                <w:rFonts w:ascii="Calibri" w:hAnsi="Calibri"/>
                <w:sz w:val="22"/>
              </w:rPr>
              <w:t>N/A (no Q2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EPS — FY 2026</w:t>
            </w:r>
          </w:p>
        </w:tc>
        <w:tc>
          <w:tcPr>
            <w:tcW w:type="dxa" w:w="1080"/>
          </w:tcPr>
          <w:p>
            <w:r>
              <w:rPr>
                <w:rFonts w:ascii="Calibri" w:hAnsi="Calibri"/>
                <w:sz w:val="22"/>
              </w:rPr>
              <w:t>$29.83</w:t>
            </w:r>
          </w:p>
        </w:tc>
        <w:tc>
          <w:tcPr>
            <w:tcW w:type="dxa" w:w="1080"/>
          </w:tcPr>
          <w:p>
            <w:r>
              <w:rPr>
                <w:rFonts w:ascii="Calibri" w:hAnsi="Calibri"/>
                <w:sz w:val="22"/>
              </w:rPr>
              <w:t>$30.04</w:t>
            </w:r>
          </w:p>
        </w:tc>
        <w:tc>
          <w:tcPr>
            <w:tcW w:type="dxa" w:w="1080"/>
          </w:tcPr>
          <w:p>
            <w:r>
              <w:rPr>
                <w:rFonts w:ascii="Calibri" w:hAnsi="Calibri"/>
                <w:b/>
                <w:color w:val="30A46C"/>
                <w:sz w:val="22"/>
              </w:rPr>
              <w:t>+0.7%</w:t>
            </w:r>
          </w:p>
        </w:tc>
        <w:tc>
          <w:tcPr>
            <w:tcW w:type="dxa" w:w="1080"/>
          </w:tcPr>
          <w:p>
            <w:r>
              <w:rPr>
                <w:rFonts w:ascii="Calibri" w:hAnsi="Calibri"/>
                <w:sz w:val="22"/>
              </w:rPr>
              <w:t>$29.35–$30.25 (mid $29.80)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above mid</w:t>
            </w:r>
          </w:p>
        </w:tc>
      </w:tr>
      <w:tr>
        <w:tc>
          <w:tcPr>
            <w:tcW w:type="dxa" w:w="1080"/>
          </w:tcPr>
          <w:p>
            <w:r>
              <w:rPr>
                <w:rFonts w:ascii="Calibri" w:hAnsi="Calibri"/>
                <w:sz w:val="22"/>
              </w:rPr>
              <w:t>Free Cash Flow — Q2 2026</w:t>
            </w:r>
          </w:p>
        </w:tc>
        <w:tc>
          <w:tcPr>
            <w:tcW w:type="dxa" w:w="1080"/>
          </w:tcPr>
          <w:p>
            <w:r>
              <w:rPr>
                <w:rFonts w:ascii="Calibri" w:hAnsi="Calibri"/>
                <w:sz w:val="22"/>
              </w:rPr>
              <w:t>$1.27B</w:t>
            </w:r>
          </w:p>
        </w:tc>
        <w:tc>
          <w:tcPr>
            <w:tcW w:type="dxa" w:w="1080"/>
          </w:tcPr>
          <w:p>
            <w:r>
              <w:rPr>
                <w:rFonts w:ascii="Calibri" w:hAnsi="Calibri"/>
                <w:sz w:val="22"/>
              </w:rPr>
              <w:t>$0.86B</w:t>
            </w:r>
          </w:p>
        </w:tc>
        <w:tc>
          <w:tcPr>
            <w:tcW w:type="dxa" w:w="1080"/>
          </w:tcPr>
          <w:p>
            <w:r>
              <w:rPr>
                <w:rFonts w:ascii="Calibri" w:hAnsi="Calibri"/>
                <w:b/>
                <w:color w:val="E5484D"/>
                <w:sz w:val="22"/>
              </w:rPr>
              <w:t>-32.3%</w:t>
            </w:r>
          </w:p>
        </w:tc>
        <w:tc>
          <w:tcPr>
            <w:tcW w:type="dxa" w:w="1080"/>
          </w:tcPr>
          <w:p>
            <w:r>
              <w:rPr>
                <w:rFonts w:ascii="Calibri" w:hAnsi="Calibri"/>
                <w:sz w:val="22"/>
              </w:rPr>
              <w:t>ERP issue resolved by Q2 (directional)</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no Q2 point guidance</w:t>
            </w:r>
          </w:p>
        </w:tc>
      </w:tr>
      <w:tr>
        <w:tc>
          <w:tcPr>
            <w:tcW w:type="dxa" w:w="1080"/>
          </w:tcPr>
          <w:p>
            <w:r>
              <w:rPr>
                <w:rFonts w:ascii="Calibri" w:hAnsi="Calibri"/>
                <w:sz w:val="22"/>
              </w:rPr>
              <w:t>Free Cash Flow — FY 2026</w:t>
            </w:r>
          </w:p>
        </w:tc>
        <w:tc>
          <w:tcPr>
            <w:tcW w:type="dxa" w:w="1080"/>
          </w:tcPr>
          <w:p>
            <w:r>
              <w:rPr>
                <w:rFonts w:ascii="Calibri" w:hAnsi="Calibri"/>
                <w:sz w:val="22"/>
              </w:rPr>
              <w:t>$6.67B</w:t>
            </w:r>
          </w:p>
        </w:tc>
        <w:tc>
          <w:tcPr>
            <w:tcW w:type="dxa" w:w="1080"/>
          </w:tcPr>
          <w:p>
            <w:r>
              <w:rPr>
                <w:rFonts w:ascii="Calibri" w:hAnsi="Calibri"/>
                <w:sz w:val="22"/>
              </w:rPr>
              <w:t>$6.30B</w:t>
            </w:r>
          </w:p>
        </w:tc>
        <w:tc>
          <w:tcPr>
            <w:tcW w:type="dxa" w:w="1080"/>
          </w:tcPr>
          <w:p>
            <w:r>
              <w:rPr>
                <w:rFonts w:ascii="Calibri" w:hAnsi="Calibri"/>
                <w:b/>
                <w:color w:val="E5484D"/>
                <w:sz w:val="22"/>
              </w:rPr>
              <w:t>-5.6%</w:t>
            </w:r>
          </w:p>
        </w:tc>
        <w:tc>
          <w:tcPr>
            <w:tcW w:type="dxa" w:w="1080"/>
          </w:tcPr>
          <w:p>
            <w:r>
              <w:rPr>
                <w:rFonts w:ascii="Calibri" w:hAnsi="Calibri"/>
                <w:sz w:val="22"/>
              </w:rPr>
              <w:t>$6.5B–$6.8B (mid $6.65B)</w:t>
            </w:r>
          </w:p>
        </w:tc>
        <w:tc>
          <w:tcPr>
            <w:tcW w:type="dxa" w:w="1080"/>
          </w:tcPr>
          <w:p>
            <w:r>
              <w:rPr>
                <w:rFonts w:ascii="Calibri" w:hAnsi="Calibri"/>
                <w:sz w:val="22"/>
              </w:rPr>
              <w:t>Unchanged; mgmt. confident in upper end</w:t>
            </w:r>
          </w:p>
        </w:tc>
        <w:tc>
          <w:tcPr>
            <w:tcW w:type="dxa" w:w="1080"/>
          </w:tcPr>
          <w:p>
            <w:r>
              <w:rPr>
                <w:rFonts w:ascii="Calibri" w:hAnsi="Calibri"/>
                <w:sz w:val="22"/>
              </w:rPr>
              <w:t>—</w:t>
            </w:r>
          </w:p>
        </w:tc>
        <w:tc>
          <w:tcPr>
            <w:tcW w:type="dxa" w:w="1080"/>
          </w:tcPr>
          <w:p>
            <w:r>
              <w:rPr>
                <w:rFonts w:ascii="Calibri" w:hAnsi="Calibri"/>
                <w:sz w:val="22"/>
              </w:rPr>
              <w:t>-5.3% below mid</w:t>
            </w:r>
          </w:p>
        </w:tc>
      </w:tr>
      <w:tr>
        <w:tc>
          <w:tcPr>
            <w:tcW w:type="dxa" w:w="1080"/>
          </w:tcPr>
          <w:p>
            <w:r>
              <w:rPr>
                <w:rFonts w:ascii="Calibri" w:hAnsi="Calibri"/>
                <w:sz w:val="22"/>
              </w:rPr>
              <w:t>Backlog — Q2 2026</w:t>
            </w:r>
          </w:p>
        </w:tc>
        <w:tc>
          <w:tcPr>
            <w:tcW w:type="dxa" w:w="1080"/>
          </w:tcPr>
          <w:p>
            <w:r>
              <w:rPr>
                <w:rFonts w:ascii="Calibri" w:hAnsi="Calibri"/>
                <w:sz w:val="22"/>
              </w:rPr>
              <w:t>$171.2B</w:t>
            </w:r>
          </w:p>
        </w:tc>
        <w:tc>
          <w:tcPr>
            <w:tcW w:type="dxa" w:w="1080"/>
          </w:tcPr>
          <w:p>
            <w:r>
              <w:rPr>
                <w:rFonts w:ascii="Calibri" w:hAnsi="Calibri"/>
                <w:sz w:val="22"/>
              </w:rPr>
              <w:t>$171.2B</w:t>
            </w:r>
          </w:p>
        </w:tc>
        <w:tc>
          <w:tcPr>
            <w:tcW w:type="dxa" w:w="1080"/>
          </w:tcPr>
          <w:p>
            <w:r>
              <w:rPr>
                <w:rFonts w:ascii="Calibri" w:hAnsi="Calibri"/>
                <w:sz w:val="22"/>
              </w:rPr>
              <w:t>0.0%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most notable divergence is in free cash flow: the Street's Q2 FCF estimate of $0.86B is well below the $1.27B baseline set right after Q1 earnings, suggesting analysts have not fully credited management's guidance that the ERP billing system issue would be resolved by Q2. If management's guidance proves accurate, FCF could be a meaningful upside surprise. EPS revisions are tracking constructively with guidance, with both Q2 and FY estimates sitting modestly above the guidance midpoint.</w:t>
      </w:r>
    </w:p>
    <w:p>
      <w:r>
        <w:rPr>
          <w:rFonts w:ascii="Calibri" w:hAnsi="Calibri"/>
          <w:i/>
          <w:color w:val="525866"/>
          <w:sz w:val="22"/>
        </w:rPr>
        <w:t>Source: Visible Alpha Consensus and Actuals Data; LMT Q1 2026 Earnings Call (April 23,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LMT has significantly underperformed ITA (-7.4% vs. ITA +5.5%) since the Q1 earnings miss on April 23, driven by sentiment compression rather than estimate cuts; the stock's relative weakness means it has </w:t>
      </w:r>
      <w:r>
        <w:rPr>
          <w:rFonts w:ascii="Calibri" w:hAnsi="Calibri"/>
          <w:b/>
          <w:color w:val="525866"/>
          <w:sz w:val="22"/>
        </w:rPr>
        <w:t>not priced in a beat</w:t>
      </w:r>
      <w:r>
        <w:rPr>
          <w:rFonts w:ascii="Calibri" w:hAnsi="Calibri"/>
          <w:color w:val="525866"/>
          <w:sz w:val="22"/>
        </w:rPr>
        <w:t>, creating asymmetric upside if Q2 execution is clean.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LMT vs. ITA vs. S&amp;P 500 — Indexed to 100 at April 22, 2026 (day before Q1 2026 earnings). Source: Stock Price Data.</w:t>
      </w:r>
    </w:p>
    <w:p>
      <w:r>
        <w:rPr>
          <w:rFonts w:ascii="Calibri" w:hAnsi="Calibri"/>
          <w:color w:val="525866"/>
          <w:sz w:val="22"/>
        </w:rPr>
        <w:t>LMT opened the post-Q1 period at $555.43 (April 22) and fell sharply to $529.79 on earnings day (April 23), then continued declining to a trough near $491–$507 range in late June. The stock staged a brief recovery to ~$548 in mid-June (around June 11) before pulling back again. As of July 22, LMT trades at $514.36, down approximately 7.4% from the pre-earnings close, while ITA has gained roughly 5.5% over the same period and the S&amp;P 500 is up approximately 5.1%. The stock's underperformance is primarily sentiment-driven — estimates have actually moved modestly higher since the Q1 print — suggesting multiple compression rather than fundamental deterioration. The $35B THAAD UCA (June 24) provided a brief catalyst but was not sustained, likely reflecting broader market skepticism about near-term cash conversion. Analyst price targets average ~$615 (20% upside from current levels), with Citigroup upgrading to Buy on July 1 ($582 target) and TD Cowen lowering its target to $560 on July 8. The compressed multiple relative to ITA peers represents a potential re-rating catalyst if Q2 execution is clean.</w:t>
      </w:r>
    </w:p>
    <w:p>
      <w:r>
        <w:rPr>
          <w:rFonts w:ascii="Calibri" w:hAnsi="Calibri"/>
          <w:b/>
          <w:color w:val="525866"/>
          <w:sz w:val="22"/>
        </w:rPr>
        <w:t xml:space="preserve">Key Events Marked: </w:t>
      </w:r>
      <w:r>
        <w:rPr>
          <w:rFonts w:ascii="Calibri" w:hAnsi="Calibri"/>
          <w:color w:val="525866"/>
          <w:sz w:val="22"/>
        </w:rPr>
        <w:t>Q1 2026 Earnings Miss (Apr 23) | $879M F-35 Armament Order (May 18) | Bernstein Conference (May 27) | $35B THAAD UCA Award (Jun 24) | Citigroup Upgrade to Buy (Jul 1) | TD Cowen Target Cut to $560 (Jul 8)</w:t>
      </w:r>
    </w:p>
    <w:p>
      <w:r>
        <w:rPr>
          <w:rFonts w:ascii="Calibri" w:hAnsi="Calibri"/>
          <w:i/>
          <w:color w:val="525866"/>
          <w:sz w:val="22"/>
        </w:rPr>
        <w:t>Source: Stock Price Data (Yahoo Finance). Sector ETF: ITA (iShares U.S. Aerospace &amp; Defense ETF).</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$35B THAAD UCA awarded June 24 is the single most important post-earnings development — it converts the framework agreement into an executable contract and provides the long-term demand signal needed to accelerate production capacity, directly validating the MFC ramp thesis heading into Q2.</w:t>
      </w:r>
    </w:p>
    <w:p>
      <w:pPr>
        <w:pStyle w:val="ListBullet"/>
        <w:ind w:left="360" w:hanging="360"/>
      </w:pPr>
      <w:r>
        <w:rPr>
          <w:rFonts w:ascii="Calibri" w:hAnsi="Calibri"/>
          <w:b/>
          <w:color w:val="525866"/>
          <w:sz w:val="22"/>
        </w:rPr>
        <w:t>June 24, 2026 — $35 Billion THAAD UCA Awarded:</w:t>
      </w:r>
      <w:r>
        <w:rPr>
          <w:rFonts w:ascii="Calibri" w:hAnsi="Calibri"/>
          <w:color w:val="525866"/>
          <w:sz w:val="22"/>
        </w:rPr>
        <w:t xml:space="preserve"> The U.S. government awarded LMT a 7-year undefinitized contract action (UCA) for up to $35B to quadruple THAAD interceptor production. This is one of the first major multiyear procurement contracts under the DoW's Acquisition Transformation Strategy, converting the January 29 framework agreement into an executable contract. </w:t>
      </w:r>
      <w:r>
        <w:rPr>
          <w:rFonts w:ascii="Calibri" w:hAnsi="Calibri"/>
          <w:i/>
          <w:color w:val="525866"/>
          <w:sz w:val="22"/>
        </w:rPr>
        <w:t>Implication:</w:t>
      </w:r>
      <w:r>
        <w:rPr>
          <w:rFonts w:ascii="Calibri" w:hAnsi="Calibri"/>
          <w:color w:val="525866"/>
          <w:sz w:val="22"/>
        </w:rPr>
        <w:t xml:space="preserve"> Largest single MFC contract in company history; directly validates the missile ramp thesis and provides multi-year revenue visibility. Expect management to highlight this prominently on the Q2 call.</w:t>
      </w:r>
    </w:p>
    <w:p>
      <w:pPr>
        <w:pStyle w:val="ListBullet"/>
        <w:ind w:left="360" w:hanging="360"/>
      </w:pPr>
      <w:r>
        <w:rPr>
          <w:rFonts w:ascii="Calibri" w:hAnsi="Calibri"/>
          <w:b/>
          <w:color w:val="525866"/>
          <w:sz w:val="22"/>
        </w:rPr>
        <w:t>April 21, 2026 — PAC-3 MSE / Aegis Integration Contract:</w:t>
      </w:r>
      <w:r>
        <w:rPr>
          <w:rFonts w:ascii="Calibri" w:hAnsi="Calibri"/>
          <w:color w:val="525866"/>
          <w:sz w:val="22"/>
        </w:rPr>
        <w:t xml:space="preserve"> LMT awarded a Navy contract to integrate PAC-3 MSE into the Aegis Combat System for the first time, expanding the addressable market for PAC-3 beyond land-based platforms. </w:t>
      </w:r>
      <w:r>
        <w:rPr>
          <w:rFonts w:ascii="Calibri" w:hAnsi="Calibri"/>
          <w:i/>
          <w:color w:val="525866"/>
          <w:sz w:val="22"/>
        </w:rPr>
        <w:t>Implication:</w:t>
      </w:r>
      <w:r>
        <w:rPr>
          <w:rFonts w:ascii="Calibri" w:hAnsi="Calibri"/>
          <w:color w:val="525866"/>
          <w:sz w:val="22"/>
        </w:rPr>
        <w:t xml:space="preserve"> New mission set for PAC-3 adds incremental demand beyond the existing framework agreement ramp.</w:t>
      </w:r>
    </w:p>
    <w:p>
      <w:pPr>
        <w:pStyle w:val="ListBullet"/>
        <w:ind w:left="360" w:hanging="360"/>
      </w:pPr>
      <w:r>
        <w:rPr>
          <w:rFonts w:ascii="Calibri" w:hAnsi="Calibri"/>
          <w:b/>
          <w:color w:val="525866"/>
          <w:sz w:val="22"/>
        </w:rPr>
        <w:t>April 2026 — $4.7B PAC-3 UCA:</w:t>
      </w:r>
      <w:r>
        <w:rPr>
          <w:rFonts w:ascii="Calibri" w:hAnsi="Calibri"/>
          <w:color w:val="525866"/>
          <w:sz w:val="22"/>
        </w:rPr>
        <w:t xml:space="preserve"> The U.S. government awarded LMT a $4.7B contract to continue accelerated PAC-3 MSE production in 2026, enabling production ramp ahead of the full definitive multiyear contract. </w:t>
      </w:r>
      <w:r>
        <w:rPr>
          <w:rFonts w:ascii="Calibri" w:hAnsi="Calibri"/>
          <w:i/>
          <w:color w:val="525866"/>
          <w:sz w:val="22"/>
        </w:rPr>
        <w:t>Implication:</w:t>
      </w:r>
      <w:r>
        <w:rPr>
          <w:rFonts w:ascii="Calibri" w:hAnsi="Calibri"/>
          <w:color w:val="525866"/>
          <w:sz w:val="22"/>
        </w:rPr>
        <w:t xml:space="preserve"> Provides near-term revenue bridge and confirms the three-step framework → UCA → definitive contract process is on track.</w:t>
      </w:r>
    </w:p>
    <w:p>
      <w:pPr>
        <w:pStyle w:val="ListBullet"/>
        <w:ind w:left="360" w:hanging="360"/>
      </w:pPr>
      <w:r>
        <w:rPr>
          <w:rFonts w:ascii="Calibri" w:hAnsi="Calibri"/>
          <w:b/>
          <w:color w:val="525866"/>
          <w:sz w:val="22"/>
        </w:rPr>
        <w:t>May 18, 2026 — $879M F-35 Armament Order:</w:t>
      </w:r>
      <w:r>
        <w:rPr>
          <w:rFonts w:ascii="Calibri" w:hAnsi="Calibri"/>
          <w:color w:val="525866"/>
          <w:sz w:val="22"/>
        </w:rPr>
        <w:t xml:space="preserve"> LMT received a $879.1M firm-fixed-price order for F-35 armament production covering Lots 18 and 19, including missile launchers, bomb racks, gun systems, and pylons for U.S. and foreign military customers. </w:t>
      </w:r>
      <w:r>
        <w:rPr>
          <w:rFonts w:ascii="Calibri" w:hAnsi="Calibri"/>
          <w:i/>
          <w:color w:val="525866"/>
          <w:sz w:val="22"/>
        </w:rPr>
        <w:t>Implication:</w:t>
      </w:r>
      <w:r>
        <w:rPr>
          <w:rFonts w:ascii="Calibri" w:hAnsi="Calibri"/>
          <w:color w:val="525866"/>
          <w:sz w:val="22"/>
        </w:rPr>
        <w:t xml:space="preserve"> Reinforces sustained F-35 demand; ~$473M from foreign military sales, highlighting international demand durability.</w:t>
      </w:r>
    </w:p>
    <w:p>
      <w:pPr>
        <w:pStyle w:val="ListBullet"/>
        <w:ind w:left="360" w:hanging="360"/>
      </w:pPr>
      <w:r>
        <w:rPr>
          <w:rFonts w:ascii="Calibri" w:hAnsi="Calibri"/>
          <w:b/>
          <w:color w:val="525866"/>
          <w:sz w:val="22"/>
        </w:rPr>
        <w:t>May 27, 2026 — Bernstein Strategic Decisions Conference:</w:t>
      </w:r>
      <w:r>
        <w:rPr>
          <w:rFonts w:ascii="Calibri" w:hAnsi="Calibri"/>
          <w:color w:val="525866"/>
          <w:sz w:val="22"/>
        </w:rPr>
        <w:t xml:space="preserve"> CEO Jim Taiclet and CFO Evan Scott participated in a fireside chat. No material guidance updates were disclosed in the available press release. </w:t>
      </w:r>
      <w:r>
        <w:rPr>
          <w:rFonts w:ascii="Calibri" w:hAnsi="Calibri"/>
          <w:i/>
          <w:color w:val="525866"/>
          <w:sz w:val="22"/>
        </w:rPr>
        <w:t>Implication:</w:t>
      </w:r>
      <w:r>
        <w:rPr>
          <w:rFonts w:ascii="Calibri" w:hAnsi="Calibri"/>
          <w:color w:val="525866"/>
          <w:sz w:val="22"/>
        </w:rPr>
        <w:t xml:space="preserve"> Absence of any pre-announcement or guidance revision is a mild positive — management appears comfortable with the full-year outlook.</w:t>
      </w:r>
    </w:p>
    <w:p>
      <w:pPr>
        <w:pStyle w:val="ListBullet"/>
        <w:ind w:left="360" w:hanging="360"/>
      </w:pPr>
      <w:r>
        <w:rPr>
          <w:rFonts w:ascii="Calibri" w:hAnsi="Calibri"/>
          <w:b/>
          <w:color w:val="525866"/>
          <w:sz w:val="22"/>
        </w:rPr>
        <w:t>May 12, 2026 — Annual Shareholder Meeting:</w:t>
      </w:r>
      <w:r>
        <w:rPr>
          <w:rFonts w:ascii="Calibri" w:hAnsi="Calibri"/>
          <w:color w:val="525866"/>
          <w:sz w:val="22"/>
        </w:rPr>
        <w:t xml:space="preserve"> Shareholders elected directors and rejected an independent chairman proposal. </w:t>
      </w:r>
      <w:r>
        <w:rPr>
          <w:rFonts w:ascii="Calibri" w:hAnsi="Calibri"/>
          <w:i/>
          <w:color w:val="525866"/>
          <w:sz w:val="22"/>
        </w:rPr>
        <w:t>Implication:</w:t>
      </w:r>
      <w:r>
        <w:rPr>
          <w:rFonts w:ascii="Calibri" w:hAnsi="Calibri"/>
          <w:color w:val="525866"/>
          <w:sz w:val="22"/>
        </w:rPr>
        <w:t xml:space="preserve"> No governance disruption; management continuity intact.</w:t>
      </w:r>
    </w:p>
    <w:p>
      <w:pPr>
        <w:pStyle w:val="ListBullet"/>
        <w:ind w:left="360" w:hanging="360"/>
      </w:pPr>
      <w:r>
        <w:rPr>
          <w:rFonts w:ascii="Calibri" w:hAnsi="Calibri"/>
          <w:b/>
          <w:color w:val="525866"/>
          <w:sz w:val="22"/>
        </w:rPr>
        <w:t>July 1, 2026 — Citigroup Upgrade to Buy ($582 Target):</w:t>
      </w:r>
      <w:r>
        <w:rPr>
          <w:rFonts w:ascii="Calibri" w:hAnsi="Calibri"/>
          <w:color w:val="525866"/>
          <w:sz w:val="22"/>
        </w:rPr>
        <w:t xml:space="preserve"> Citigroup upgraded LMT from Neutral to Buy with a $582 price target, citing improving credit metrics and strong defense demand. </w:t>
      </w:r>
      <w:r>
        <w:rPr>
          <w:rFonts w:ascii="Calibri" w:hAnsi="Calibri"/>
          <w:i/>
          <w:color w:val="525866"/>
          <w:sz w:val="22"/>
        </w:rPr>
        <w:t>Implication:</w:t>
      </w:r>
      <w:r>
        <w:rPr>
          <w:rFonts w:ascii="Calibri" w:hAnsi="Calibri"/>
          <w:color w:val="525866"/>
          <w:sz w:val="22"/>
        </w:rPr>
        <w:t xml:space="preserve"> Incremental institutional buying pressure; upgrade came after the stock had already pulled back ~7% from pre-earnings levels.</w:t>
      </w:r>
    </w:p>
    <w:p>
      <w:pPr>
        <w:pStyle w:val="ListBullet"/>
        <w:ind w:left="360" w:hanging="360"/>
      </w:pPr>
      <w:r>
        <w:rPr>
          <w:rFonts w:ascii="Calibri" w:hAnsi="Calibri"/>
          <w:b/>
          <w:color w:val="525866"/>
          <w:sz w:val="22"/>
        </w:rPr>
        <w:t>July 8, 2026 — TD Cowen Target Cut to $560:</w:t>
      </w:r>
      <w:r>
        <w:rPr>
          <w:rFonts w:ascii="Calibri" w:hAnsi="Calibri"/>
          <w:color w:val="525866"/>
          <w:sz w:val="22"/>
        </w:rPr>
        <w:t xml:space="preserve"> TD Cowen (analyst Gautam Khanna) lowered its price target from $600 to $560 while maintaining a Hold rating. </w:t>
      </w:r>
      <w:r>
        <w:rPr>
          <w:rFonts w:ascii="Calibri" w:hAnsi="Calibri"/>
          <w:i/>
          <w:color w:val="525866"/>
          <w:sz w:val="22"/>
        </w:rPr>
        <w:t>Implication:</w:t>
      </w:r>
      <w:r>
        <w:rPr>
          <w:rFonts w:ascii="Calibri" w:hAnsi="Calibri"/>
          <w:color w:val="525866"/>
          <w:sz w:val="22"/>
        </w:rPr>
        <w:t xml:space="preserve"> Reflects lingering caution on near-term execution; the cut partially offsets the Citi upgrade in terms of net analyst sentiment.</w:t>
      </w:r>
    </w:p>
    <w:p>
      <w:pPr>
        <w:pStyle w:val="ListBullet"/>
        <w:ind w:left="360" w:hanging="360"/>
      </w:pPr>
      <w:r>
        <w:rPr>
          <w:rFonts w:ascii="Calibri" w:hAnsi="Calibri"/>
          <w:b/>
          <w:color w:val="525866"/>
          <w:sz w:val="22"/>
        </w:rPr>
        <w:t>July 13, 2026 — S&amp;P Global Outlook Revised to Positive:</w:t>
      </w:r>
      <w:r>
        <w:rPr>
          <w:rFonts w:ascii="Calibri" w:hAnsi="Calibri"/>
          <w:color w:val="525866"/>
          <w:sz w:val="22"/>
        </w:rPr>
        <w:t xml:space="preserve"> S&amp;P Global Ratings revised its outlook on LMT to positive from stable, citing improving credit metrics and strong defense demand. </w:t>
      </w:r>
      <w:r>
        <w:rPr>
          <w:rFonts w:ascii="Calibri" w:hAnsi="Calibri"/>
          <w:i/>
          <w:color w:val="525866"/>
          <w:sz w:val="22"/>
        </w:rPr>
        <w:t>Implication:</w:t>
      </w:r>
      <w:r>
        <w:rPr>
          <w:rFonts w:ascii="Calibri" w:hAnsi="Calibri"/>
          <w:color w:val="525866"/>
          <w:sz w:val="22"/>
        </w:rPr>
        <w:t xml:space="preserve"> Potential credit rating upgrade; reduces cost of capital and supports capital allocation flexibility.</w:t>
      </w:r>
    </w:p>
    <w:p>
      <w:pPr>
        <w:pStyle w:val="ListBullet"/>
        <w:ind w:left="360" w:hanging="360"/>
      </w:pPr>
      <w:r>
        <w:rPr>
          <w:rFonts w:ascii="Calibri" w:hAnsi="Calibri"/>
          <w:b/>
          <w:color w:val="525866"/>
          <w:sz w:val="22"/>
        </w:rPr>
        <w:t>July 1, 2026 — Q2 2026 Earnings Webcast Announced:</w:t>
      </w:r>
      <w:r>
        <w:rPr>
          <w:rFonts w:ascii="Calibri" w:hAnsi="Calibri"/>
          <w:color w:val="525866"/>
          <w:sz w:val="22"/>
        </w:rPr>
        <w:t xml:space="preserve"> LMT announced the Q2 2026 earnings results webcast for July 23, 2026, confirming the reporting date. </w:t>
      </w:r>
      <w:r>
        <w:rPr>
          <w:rFonts w:ascii="Calibri" w:hAnsi="Calibri"/>
          <w:i/>
          <w:color w:val="525866"/>
          <w:sz w:val="22"/>
        </w:rPr>
        <w:t>Implication:</w:t>
      </w:r>
      <w:r>
        <w:rPr>
          <w:rFonts w:ascii="Calibri" w:hAnsi="Calibri"/>
          <w:color w:val="525866"/>
          <w:sz w:val="22"/>
        </w:rPr>
        <w:t xml:space="preserve"> No pre-announcement or guidance revision in the announcement — consistent with management's confidence in the full-year outlook.</w:t>
      </w:r>
    </w:p>
    <w:p>
      <w:pPr>
        <w:pStyle w:val="ListBullet"/>
        <w:ind w:left="360" w:hanging="360"/>
      </w:pPr>
      <w:r>
        <w:rPr>
          <w:rFonts w:ascii="Calibri" w:hAnsi="Calibri"/>
          <w:b/>
          <w:color w:val="525866"/>
          <w:sz w:val="22"/>
        </w:rPr>
        <w:t>Ongoing — Golden Dome Initiative:</w:t>
      </w:r>
      <w:r>
        <w:rPr>
          <w:rFonts w:ascii="Calibri" w:hAnsi="Calibri"/>
          <w:color w:val="525866"/>
          <w:sz w:val="22"/>
        </w:rPr>
        <w:t xml:space="preserve"> The administration's Golden Dome integrated air and missile defense initiative continues to advance, with LMT positioning its PAC-3, THAAD, and space-based interceptor capabilities as core components. LMT has self-funded prototypes and cited a 2028 space-based interceptor timeline. </w:t>
      </w:r>
      <w:r>
        <w:rPr>
          <w:rFonts w:ascii="Calibri" w:hAnsi="Calibri"/>
          <w:i/>
          <w:color w:val="525866"/>
          <w:sz w:val="22"/>
        </w:rPr>
        <w:t>Implication:</w:t>
      </w:r>
      <w:r>
        <w:rPr>
          <w:rFonts w:ascii="Calibri" w:hAnsi="Calibri"/>
          <w:color w:val="525866"/>
          <w:sz w:val="22"/>
        </w:rPr>
        <w:t xml:space="preserve"> Represents a multi-decade demand driver beyond existing framework agreements; any Q2 commentary on Golden Dome contract awards or program definition would be a positive catalyst.</w:t>
      </w:r>
    </w:p>
    <w:p>
      <w:r>
        <w:br w:type="page"/>
      </w:r>
    </w:p>
    <w:p>
      <w:pPr>
        <w:pStyle w:val="Heading1"/>
        <w:pBdr>
          <w:bottom w:val="single" w:sz="4" w:space="1" w:color="FB9120"/>
        </w:pBdr>
      </w:pPr>
      <w:r>
        <w:rPr>
          <w:rFonts w:ascii="Calibri" w:hAnsi="Calibri"/>
          <w:b/>
          <w:color w:val="3B4259"/>
          <w:sz w:val="40"/>
        </w:rPr>
        <w:t>7. Peer Commentaries — Q2 2026 Read-Throughs</w:t>
      </w:r>
    </w:p>
    <w:p>
      <w:r>
        <w:rPr>
          <w:rFonts w:ascii="Calibri" w:hAnsi="Calibri"/>
          <w:b/>
          <w:color w:val="525866"/>
          <w:sz w:val="22"/>
        </w:rPr>
        <w:t xml:space="preserve">Key Takeaway: </w:t>
      </w:r>
      <w:r>
        <w:rPr>
          <w:rFonts w:ascii="Calibri" w:hAnsi="Calibri"/>
          <w:color w:val="525866"/>
          <w:sz w:val="22"/>
        </w:rPr>
        <w:t>Peer commentary from the last 60 days is uniformly positive for LMT's Q2 setup — NOC's Q2 2026 results (reported July 21) confirm accelerating defense demand, record backlogs, and FMS process improvement; GD's Q1 2026 call highlighted record munitions growth and strong book-to-bill; LHX's Q1 2026 call confirmed LMT as a prime for solid rocket motor supply chain ramp; HII's Q1 2026 call validated bipartisan defense budget support and missile defense spending.</w:t>
      </w:r>
    </w:p>
    <w:p>
      <w:pPr>
        <w:pStyle w:val="Heading3"/>
      </w:pPr>
      <w:r>
        <w:rPr>
          <w:rFonts w:ascii="Calibri" w:hAnsi="Calibri"/>
          <w:b/>
          <w:color w:val="3B4259"/>
          <w:sz w:val="24"/>
        </w:rPr>
        <w:t>Northrop Grumman (NOC) — Q2 2026 Earnings Call (July 21, 2026) — HIGHEST RELEVANCE</w:t>
      </w:r>
    </w:p>
    <w:p>
      <w:r>
        <w:rPr>
          <w:rFonts w:ascii="Calibri" w:hAnsi="Calibri"/>
          <w:color w:val="525866"/>
          <w:sz w:val="22"/>
        </w:rPr>
        <w:t>NOC reported Q2 2026 results the day before LMT's print, making this the most timely and relevant read-through. Key takeaways:</w:t>
      </w:r>
    </w:p>
    <w:p>
      <w:pPr>
        <w:pStyle w:val="ListBullet"/>
        <w:ind w:left="360" w:hanging="360"/>
      </w:pPr>
      <w:r>
        <w:rPr>
          <w:rFonts w:ascii="Calibri" w:hAnsi="Calibri"/>
          <w:b/>
          <w:color w:val="525866"/>
          <w:sz w:val="22"/>
        </w:rPr>
        <w:t>Defense Budget Tailwind Confirmed:</w:t>
      </w:r>
      <w:r>
        <w:rPr>
          <w:rFonts w:ascii="Calibri" w:hAnsi="Calibri"/>
          <w:color w:val="525866"/>
          <w:sz w:val="22"/>
        </w:rPr>
        <w:t xml:space="preserve"> House and Senate Armed Services Committees and House Appropriations Committee each supported a $1.1 trillion base DoW budget for FY2027, representing a nearly 10% increase from FY2026. The administration also submitted a $67B supplemental request for weapon replenishment and readiness, plus a $350B reconciliation package for military modernization. </w:t>
      </w:r>
      <w:r>
        <w:rPr>
          <w:rFonts w:ascii="Calibri" w:hAnsi="Calibri"/>
          <w:i/>
          <w:color w:val="525866"/>
          <w:sz w:val="22"/>
        </w:rPr>
        <w:t>LMT Read-Through:</w:t>
      </w:r>
      <w:r>
        <w:rPr>
          <w:rFonts w:ascii="Calibri" w:hAnsi="Calibri"/>
          <w:color w:val="525866"/>
          <w:sz w:val="22"/>
        </w:rPr>
        <w:t xml:space="preserve"> Directly validates LMT's full-year guidance and MFC ramp trajectory; the FY27 budget is described as "very supportive of core programs" without dependence on supplemental funding.</w:t>
      </w:r>
    </w:p>
    <w:p>
      <w:pPr>
        <w:pStyle w:val="ListBullet"/>
        <w:ind w:left="360" w:hanging="360"/>
      </w:pPr>
      <w:r>
        <w:rPr>
          <w:rFonts w:ascii="Calibri" w:hAnsi="Calibri"/>
          <w:b/>
          <w:color w:val="525866"/>
          <w:sz w:val="22"/>
        </w:rPr>
        <w:t>Record Backlog of $105B (+17% YoY):</w:t>
      </w:r>
      <w:r>
        <w:rPr>
          <w:rFonts w:ascii="Calibri" w:hAnsi="Calibri"/>
          <w:color w:val="525866"/>
          <w:sz w:val="22"/>
        </w:rPr>
        <w:t xml:space="preserve"> NOC's backlog hit a new record of $105B with Q2 awards of $20B and a full-year book-to-bill now expected at least 1.25x. </w:t>
      </w:r>
      <w:r>
        <w:rPr>
          <w:rFonts w:ascii="Calibri" w:hAnsi="Calibri"/>
          <w:i/>
          <w:color w:val="525866"/>
          <w:sz w:val="22"/>
        </w:rPr>
        <w:t>LMT Read-Through:</w:t>
      </w:r>
      <w:r>
        <w:rPr>
          <w:rFonts w:ascii="Calibri" w:hAnsi="Calibri"/>
          <w:color w:val="525866"/>
          <w:sz w:val="22"/>
        </w:rPr>
        <w:t xml:space="preserve"> Consistent with the broad defense demand environment; LMT's own backlog of $186B (Q1 2026) should remain robust given similar demand dynamics.</w:t>
      </w:r>
    </w:p>
    <w:p>
      <w:pPr>
        <w:pStyle w:val="ListBullet"/>
        <w:ind w:left="360" w:hanging="360"/>
      </w:pPr>
      <w:r>
        <w:rPr>
          <w:rFonts w:ascii="Calibri" w:hAnsi="Calibri"/>
          <w:b/>
          <w:color w:val="525866"/>
          <w:sz w:val="22"/>
        </w:rPr>
        <w:t>NOC Becomes PAC-3 Solid Rocket Motor Supplier:</w:t>
      </w:r>
      <w:r>
        <w:rPr>
          <w:rFonts w:ascii="Calibri" w:hAnsi="Calibri"/>
          <w:color w:val="525866"/>
          <w:sz w:val="22"/>
        </w:rPr>
        <w:t xml:space="preserve"> NOC completed qualification activities to become a PAC-3 SRM supplier and reached a $2B framework agreement with the DoW and LMT. PAC-3 SRM production awards expected later in 2026. </w:t>
      </w:r>
      <w:r>
        <w:rPr>
          <w:rFonts w:ascii="Calibri" w:hAnsi="Calibri"/>
          <w:i/>
          <w:color w:val="525866"/>
          <w:sz w:val="22"/>
        </w:rPr>
        <w:t>LMT Read-Through:</w:t>
      </w:r>
      <w:r>
        <w:rPr>
          <w:rFonts w:ascii="Calibri" w:hAnsi="Calibri"/>
          <w:color w:val="525866"/>
          <w:sz w:val="22"/>
        </w:rPr>
        <w:t xml:space="preserve"> Directly confirms LMT's supply chain diversification strategy (targeting 2-3 sources per major component); NOC's qualification as a second SRM source de-risks the PAC-3 production ramp and supports LMT's ability to hit the 2,000 Patriot missiles/year target.</w:t>
      </w:r>
    </w:p>
    <w:p>
      <w:pPr>
        <w:pStyle w:val="ListBullet"/>
        <w:ind w:left="360" w:hanging="360"/>
      </w:pPr>
      <w:r>
        <w:rPr>
          <w:rFonts w:ascii="Calibri" w:hAnsi="Calibri"/>
          <w:b/>
          <w:color w:val="525866"/>
          <w:sz w:val="22"/>
        </w:rPr>
        <w:t>FMS Process Improvement:</w:t>
      </w:r>
      <w:r>
        <w:rPr>
          <w:rFonts w:ascii="Calibri" w:hAnsi="Calibri"/>
          <w:color w:val="525866"/>
          <w:sz w:val="22"/>
        </w:rPr>
        <w:t xml:space="preserve"> NOC noted FMS cases are being approved "at a much more rapid rate" than prior years, with significant improvement attributed to the administration's cross-agency focus. </w:t>
      </w:r>
      <w:r>
        <w:rPr>
          <w:rFonts w:ascii="Calibri" w:hAnsi="Calibri"/>
          <w:i/>
          <w:color w:val="525866"/>
          <w:sz w:val="22"/>
        </w:rPr>
        <w:t>LMT Read-Through:</w:t>
      </w:r>
      <w:r>
        <w:rPr>
          <w:rFonts w:ascii="Calibri" w:hAnsi="Calibri"/>
          <w:color w:val="525866"/>
          <w:sz w:val="22"/>
        </w:rPr>
        <w:t xml:space="preserve"> Positive for LMT's international sales pipeline across F-35, PAC-3, THAAD, and other platforms; faster FMS approvals accelerate international revenue conversion.</w:t>
      </w:r>
    </w:p>
    <w:p>
      <w:pPr>
        <w:pStyle w:val="ListBullet"/>
        <w:ind w:left="360" w:hanging="360"/>
      </w:pPr>
      <w:r>
        <w:rPr>
          <w:rFonts w:ascii="Calibri" w:hAnsi="Calibri"/>
          <w:b/>
          <w:color w:val="525866"/>
          <w:sz w:val="22"/>
        </w:rPr>
        <w:t>NOC Raised FY2026 Guidance:</w:t>
      </w:r>
      <w:r>
        <w:rPr>
          <w:rFonts w:ascii="Calibri" w:hAnsi="Calibri"/>
          <w:color w:val="525866"/>
          <w:sz w:val="22"/>
        </w:rPr>
        <w:t xml:space="preserve"> NOC increased its FY2026 financial guidance based on strong Q2 results and accelerating momentum, projecting sales of $44B at the midpoint (&gt;5% organic growth) with mid-to-high single-digit YoY growth in Q3. </w:t>
      </w:r>
      <w:r>
        <w:rPr>
          <w:rFonts w:ascii="Calibri" w:hAnsi="Calibri"/>
          <w:i/>
          <w:color w:val="525866"/>
          <w:sz w:val="22"/>
        </w:rPr>
        <w:t>LMT Read-Through:</w:t>
      </w:r>
      <w:r>
        <w:rPr>
          <w:rFonts w:ascii="Calibri" w:hAnsi="Calibri"/>
          <w:color w:val="525866"/>
          <w:sz w:val="22"/>
        </w:rPr>
        <w:t xml:space="preserve"> Sector-wide guidance raise is a strong positive signal for LMT's ability to meet or exceed its own reaffirmed FY2026 guidance.</w:t>
      </w:r>
    </w:p>
    <w:p>
      <w:pPr>
        <w:pStyle w:val="ListBullet"/>
        <w:ind w:left="360" w:hanging="360"/>
      </w:pPr>
      <w:r>
        <w:rPr>
          <w:rFonts w:ascii="Calibri" w:hAnsi="Calibri"/>
          <w:b/>
          <w:color w:val="525866"/>
          <w:sz w:val="22"/>
        </w:rPr>
        <w:t>10 Multiyear Agreements for Missile Acceleration:</w:t>
      </w:r>
      <w:r>
        <w:rPr>
          <w:rFonts w:ascii="Calibri" w:hAnsi="Calibri"/>
          <w:color w:val="525866"/>
          <w:sz w:val="22"/>
        </w:rPr>
        <w:t xml:space="preserve"> NOC cited 10 multiyear agreements for missile acceleration across its portfolio, representing up to $10B in sales opportunity over 7 years. </w:t>
      </w:r>
      <w:r>
        <w:rPr>
          <w:rFonts w:ascii="Calibri" w:hAnsi="Calibri"/>
          <w:i/>
          <w:color w:val="525866"/>
          <w:sz w:val="22"/>
        </w:rPr>
        <w:t>LMT Read-Through:</w:t>
      </w:r>
      <w:r>
        <w:rPr>
          <w:rFonts w:ascii="Calibri" w:hAnsi="Calibri"/>
          <w:color w:val="525866"/>
          <w:sz w:val="22"/>
        </w:rPr>
        <w:t xml:space="preserve"> Confirms the industry-wide multiyear procurement framework is gaining momentum; LMT's own framework agreements (PAC-3, THAAD, PrSM) are part of the same DoW Acquisition Transformation Strategy.</w:t>
      </w:r>
    </w:p>
    <w:p>
      <w:pPr>
        <w:pStyle w:val="Heading3"/>
      </w:pPr>
      <w:r>
        <w:rPr>
          <w:rFonts w:ascii="Calibri" w:hAnsi="Calibri"/>
          <w:b/>
          <w:color w:val="3B4259"/>
          <w:sz w:val="24"/>
        </w:rPr>
        <w:t>L3Harris Technologies (LHX) — Q1 2026 Earnings Call (April 30, 2026)</w:t>
      </w:r>
    </w:p>
    <w:p>
      <w:pPr>
        <w:pStyle w:val="ListBullet"/>
        <w:ind w:left="360" w:hanging="360"/>
      </w:pPr>
      <w:r>
        <w:rPr>
          <w:rFonts w:ascii="Calibri" w:hAnsi="Calibri"/>
          <w:b/>
          <w:color w:val="525866"/>
          <w:sz w:val="22"/>
        </w:rPr>
        <w:t>LHX Confirms LMT as PAC-3/THAAD Prime:</w:t>
      </w:r>
      <w:r>
        <w:rPr>
          <w:rFonts w:ascii="Calibri" w:hAnsi="Calibri"/>
          <w:color w:val="525866"/>
          <w:sz w:val="22"/>
        </w:rPr>
        <w:t xml:space="preserve"> LHX explicitly named LMT as one of the two major primes (along with Raytheon) for which it supplies solid rocket motors under the Munitions Acceleration Council (MAC) programs. LHX is finalizing subcontractor framework agreements with LMT, with definitized contracts expected by year-end 2026. </w:t>
      </w:r>
      <w:r>
        <w:rPr>
          <w:rFonts w:ascii="Calibri" w:hAnsi="Calibri"/>
          <w:i/>
          <w:color w:val="525866"/>
          <w:sz w:val="22"/>
        </w:rPr>
        <w:t>LMT Read-Through:</w:t>
      </w:r>
      <w:r>
        <w:rPr>
          <w:rFonts w:ascii="Calibri" w:hAnsi="Calibri"/>
          <w:color w:val="525866"/>
          <w:sz w:val="22"/>
        </w:rPr>
        <w:t xml:space="preserve"> Confirms LMT's supply chain is progressing on schedule; LHX's $1B DoW investment and SRM capacity expansion directly supports LMT's PAC-3 and THAAD ramp.</w:t>
      </w:r>
    </w:p>
    <w:p>
      <w:pPr>
        <w:pStyle w:val="ListBullet"/>
        <w:ind w:left="360" w:hanging="360"/>
      </w:pPr>
      <w:r>
        <w:rPr>
          <w:rFonts w:ascii="Calibri" w:hAnsi="Calibri"/>
          <w:b/>
          <w:color w:val="525866"/>
          <w:sz w:val="22"/>
        </w:rPr>
        <w:t>Missile Solutions Revenue +18% YoY:</w:t>
      </w:r>
      <w:r>
        <w:rPr>
          <w:rFonts w:ascii="Calibri" w:hAnsi="Calibri"/>
          <w:color w:val="525866"/>
          <w:sz w:val="22"/>
        </w:rPr>
        <w:t xml:space="preserve"> LHX's Missile Solutions segment generated $1B in revenue, up 18% YoY, driven by higher production volumes across key missile, munitions, and space propulsion programs. </w:t>
      </w:r>
      <w:r>
        <w:rPr>
          <w:rFonts w:ascii="Calibri" w:hAnsi="Calibri"/>
          <w:i/>
          <w:color w:val="525866"/>
          <w:sz w:val="22"/>
        </w:rPr>
        <w:t>LMT Read-Through:</w:t>
      </w:r>
      <w:r>
        <w:rPr>
          <w:rFonts w:ascii="Calibri" w:hAnsi="Calibri"/>
          <w:color w:val="525866"/>
          <w:sz w:val="22"/>
        </w:rPr>
        <w:t xml:space="preserve"> Confirms the munitions supply chain is ramping; LHX's growth is directly tied to LMT's production acceleration.</w:t>
      </w:r>
    </w:p>
    <w:p>
      <w:pPr>
        <w:pStyle w:val="ListBullet"/>
        <w:ind w:left="360" w:hanging="360"/>
      </w:pPr>
      <w:r>
        <w:rPr>
          <w:rFonts w:ascii="Calibri" w:hAnsi="Calibri"/>
          <w:b/>
          <w:color w:val="525866"/>
          <w:sz w:val="22"/>
        </w:rPr>
        <w:t>LHX Backlog Nearly Doubled to $40B+:</w:t>
      </w:r>
      <w:r>
        <w:rPr>
          <w:rFonts w:ascii="Calibri" w:hAnsi="Calibri"/>
          <w:color w:val="525866"/>
          <w:sz w:val="22"/>
        </w:rPr>
        <w:t xml:space="preserve"> LHX's backlog has almost doubled to over $40B, not yet including $25B of pending MAC program orders. </w:t>
      </w:r>
      <w:r>
        <w:rPr>
          <w:rFonts w:ascii="Calibri" w:hAnsi="Calibri"/>
          <w:i/>
          <w:color w:val="525866"/>
          <w:sz w:val="22"/>
        </w:rPr>
        <w:t>LMT Read-Through:</w:t>
      </w:r>
      <w:r>
        <w:rPr>
          <w:rFonts w:ascii="Calibri" w:hAnsi="Calibri"/>
          <w:color w:val="525866"/>
          <w:sz w:val="22"/>
        </w:rPr>
        <w:t xml:space="preserve"> Validates the scale of the munitions acceleration opportunity; LHX's backlog growth is a leading indicator of LMT's own MFC revenue ramp.</w:t>
      </w:r>
    </w:p>
    <w:p>
      <w:pPr>
        <w:pStyle w:val="ListBullet"/>
        <w:ind w:left="360" w:hanging="360"/>
      </w:pPr>
      <w:r>
        <w:rPr>
          <w:rFonts w:ascii="Calibri" w:hAnsi="Calibri"/>
          <w:b/>
          <w:color w:val="525866"/>
          <w:sz w:val="22"/>
        </w:rPr>
        <w:t>$1.1T FY2027 Budget + $350B Reconciliation:</w:t>
      </w:r>
      <w:r>
        <w:rPr>
          <w:rFonts w:ascii="Calibri" w:hAnsi="Calibri"/>
          <w:color w:val="525866"/>
          <w:sz w:val="22"/>
        </w:rPr>
        <w:t xml:space="preserve"> LHX cited the proposed $1.1T base budget and $350B reconciliation package as reinforcing demand signals for critical missiles and munitions, SDA tracking layer, and tactical communication modernization. </w:t>
      </w:r>
      <w:r>
        <w:rPr>
          <w:rFonts w:ascii="Calibri" w:hAnsi="Calibri"/>
          <w:i/>
          <w:color w:val="525866"/>
          <w:sz w:val="22"/>
        </w:rPr>
        <w:t>LMT Read-Through:</w:t>
      </w:r>
      <w:r>
        <w:rPr>
          <w:rFonts w:ascii="Calibri" w:hAnsi="Calibri"/>
          <w:color w:val="525866"/>
          <w:sz w:val="22"/>
        </w:rPr>
        <w:t xml:space="preserve"> Directly supports LMT's MFC and Space segments; the budget environment is described as a "step change" in DoW investment.</w:t>
      </w:r>
    </w:p>
    <w:p>
      <w:pPr>
        <w:pStyle w:val="ListBullet"/>
        <w:ind w:left="360" w:hanging="360"/>
      </w:pPr>
      <w:r>
        <w:rPr>
          <w:rFonts w:ascii="Calibri" w:hAnsi="Calibri"/>
          <w:b/>
          <w:color w:val="525866"/>
          <w:sz w:val="22"/>
        </w:rPr>
        <w:t>No Single Sources of Supply by Year-End:</w:t>
      </w:r>
      <w:r>
        <w:rPr>
          <w:rFonts w:ascii="Calibri" w:hAnsi="Calibri"/>
          <w:color w:val="525866"/>
          <w:sz w:val="22"/>
        </w:rPr>
        <w:t xml:space="preserve"> LHX expects to eliminate all single-source supply dependencies by year-end 2026, with multiple suppliers for cases, nozzles, and igniters. </w:t>
      </w:r>
      <w:r>
        <w:rPr>
          <w:rFonts w:ascii="Calibri" w:hAnsi="Calibri"/>
          <w:i/>
          <w:color w:val="525866"/>
          <w:sz w:val="22"/>
        </w:rPr>
        <w:t>LMT Read-Through:</w:t>
      </w:r>
      <w:r>
        <w:rPr>
          <w:rFonts w:ascii="Calibri" w:hAnsi="Calibri"/>
          <w:color w:val="525866"/>
          <w:sz w:val="22"/>
        </w:rPr>
        <w:t xml:space="preserve"> Reduces supply chain risk for LMT's missile production ramp; aligns with LMT's stated goal of 2-3 sources per major component.</w:t>
      </w:r>
    </w:p>
    <w:p>
      <w:pPr>
        <w:pStyle w:val="Heading3"/>
      </w:pPr>
      <w:r>
        <w:rPr>
          <w:rFonts w:ascii="Calibri" w:hAnsi="Calibri"/>
          <w:b/>
          <w:color w:val="3B4259"/>
          <w:sz w:val="24"/>
        </w:rPr>
        <w:t>General Dynamics (GD) — Q1 2026 Earnings Call (April 29, 2026)</w:t>
      </w:r>
    </w:p>
    <w:p>
      <w:pPr>
        <w:pStyle w:val="ListBullet"/>
        <w:ind w:left="360" w:hanging="360"/>
      </w:pPr>
      <w:r>
        <w:rPr>
          <w:rFonts w:ascii="Calibri" w:hAnsi="Calibri"/>
          <w:b/>
          <w:color w:val="525866"/>
          <w:sz w:val="22"/>
        </w:rPr>
        <w:t>Record Backlog of $131B (+48% YoY), Book-to-Bill 2:1:</w:t>
      </w:r>
      <w:r>
        <w:rPr>
          <w:rFonts w:ascii="Calibri" w:hAnsi="Calibri"/>
          <w:color w:val="525866"/>
          <w:sz w:val="22"/>
        </w:rPr>
        <w:t xml:space="preserve"> GD received over $26B of orders in Q1 2026, achieving a 2:1 book-to-bill ratio even as revenue grew 10%+ YoY. Total estimated contract value hit a record $188B (+33% YoY). </w:t>
      </w:r>
      <w:r>
        <w:rPr>
          <w:rFonts w:ascii="Calibri" w:hAnsi="Calibri"/>
          <w:i/>
          <w:color w:val="525866"/>
          <w:sz w:val="22"/>
        </w:rPr>
        <w:t>LMT Read-Through:</w:t>
      </w:r>
      <w:r>
        <w:rPr>
          <w:rFonts w:ascii="Calibri" w:hAnsi="Calibri"/>
          <w:color w:val="525866"/>
          <w:sz w:val="22"/>
        </w:rPr>
        <w:t xml:space="preserve"> Confirms the defense contracting environment is exceptionally strong; the record book-to-bill across the sector supports LMT's own backlog durability.</w:t>
      </w:r>
    </w:p>
    <w:p>
      <w:pPr>
        <w:pStyle w:val="ListBullet"/>
        <w:ind w:left="360" w:hanging="360"/>
      </w:pPr>
      <w:r>
        <w:rPr>
          <w:rFonts w:ascii="Calibri" w:hAnsi="Calibri"/>
          <w:b/>
          <w:color w:val="525866"/>
          <w:sz w:val="22"/>
        </w:rPr>
        <w:t>Munitions Growth Particularly Strong:</w:t>
      </w:r>
      <w:r>
        <w:rPr>
          <w:rFonts w:ascii="Calibri" w:hAnsi="Calibri"/>
          <w:color w:val="525866"/>
          <w:sz w:val="22"/>
        </w:rPr>
        <w:t xml:space="preserve"> GD's Ordnance and Tactical Systems segment led Combat Systems growth with "particularly strong growth in munitions," with GD investing in artillery capabilities, solid rocket motors, energetics, and components "to support the missile primes." </w:t>
      </w:r>
      <w:r>
        <w:rPr>
          <w:rFonts w:ascii="Calibri" w:hAnsi="Calibri"/>
          <w:i/>
          <w:color w:val="525866"/>
          <w:sz w:val="22"/>
        </w:rPr>
        <w:t>LMT Read-Through:</w:t>
      </w:r>
      <w:r>
        <w:rPr>
          <w:rFonts w:ascii="Calibri" w:hAnsi="Calibri"/>
          <w:color w:val="525866"/>
          <w:sz w:val="22"/>
        </w:rPr>
        <w:t xml:space="preserve"> GD is explicitly investing to support LMT and other missile primes; confirms the supply chain ecosystem is scaling in parallel with LMT's production ramp.</w:t>
      </w:r>
    </w:p>
    <w:p>
      <w:pPr>
        <w:pStyle w:val="ListBullet"/>
        <w:ind w:left="360" w:hanging="360"/>
      </w:pPr>
      <w:r>
        <w:rPr>
          <w:rFonts w:ascii="Calibri" w:hAnsi="Calibri"/>
          <w:b/>
          <w:color w:val="525866"/>
          <w:sz w:val="22"/>
        </w:rPr>
        <w:t>GD Raised FY2026 EPS Guidance:</w:t>
      </w:r>
      <w:r>
        <w:rPr>
          <w:rFonts w:ascii="Calibri" w:hAnsi="Calibri"/>
          <w:color w:val="525866"/>
          <w:sz w:val="22"/>
        </w:rPr>
        <w:t xml:space="preserve"> GD raised its FY2026 EPS guidance to $16.45–$16.55 from the initial $16.10–$16.20, driven by strong Q1 results. </w:t>
      </w:r>
      <w:r>
        <w:rPr>
          <w:rFonts w:ascii="Calibri" w:hAnsi="Calibri"/>
          <w:i/>
          <w:color w:val="525866"/>
          <w:sz w:val="22"/>
        </w:rPr>
        <w:t>LMT Read-Through:</w:t>
      </w:r>
      <w:r>
        <w:rPr>
          <w:rFonts w:ascii="Calibri" w:hAnsi="Calibri"/>
          <w:color w:val="525866"/>
          <w:sz w:val="22"/>
        </w:rPr>
        <w:t xml:space="preserve"> Sector-wide guidance raise is a positive signal; GD's ability to raise guidance despite elevated CapEx investment is encouraging for LMT's own guidance trajectory.</w:t>
      </w:r>
    </w:p>
    <w:p>
      <w:pPr>
        <w:pStyle w:val="ListBullet"/>
        <w:ind w:left="360" w:hanging="360"/>
      </w:pPr>
      <w:r>
        <w:rPr>
          <w:rFonts w:ascii="Calibri" w:hAnsi="Calibri"/>
          <w:b/>
          <w:color w:val="525866"/>
          <w:sz w:val="22"/>
        </w:rPr>
        <w:t>Strong Allied Demand:</w:t>
      </w:r>
      <w:r>
        <w:rPr>
          <w:rFonts w:ascii="Calibri" w:hAnsi="Calibri"/>
          <w:color w:val="525866"/>
          <w:sz w:val="22"/>
        </w:rPr>
        <w:t xml:space="preserve"> GD noted demand for Combat Systems products is "strong, driven primarily by U.S. allies," with wheeled and tracked vehicles up on the "increased threat environment." </w:t>
      </w:r>
      <w:r>
        <w:rPr>
          <w:rFonts w:ascii="Calibri" w:hAnsi="Calibri"/>
          <w:i/>
          <w:color w:val="525866"/>
          <w:sz w:val="22"/>
        </w:rPr>
        <w:t>LMT Read-Through:</w:t>
      </w:r>
      <w:r>
        <w:rPr>
          <w:rFonts w:ascii="Calibri" w:hAnsi="Calibri"/>
          <w:color w:val="525866"/>
          <w:sz w:val="22"/>
        </w:rPr>
        <w:t xml:space="preserve"> Validates LMT's international demand thesis for F-35, PAC-3, and THAAD; allied defense spending is a structural tailwind.</w:t>
      </w:r>
    </w:p>
    <w:p>
      <w:pPr>
        <w:pStyle w:val="ListBullet"/>
        <w:ind w:left="360" w:hanging="360"/>
      </w:pPr>
      <w:r>
        <w:rPr>
          <w:rFonts w:ascii="Calibri" w:hAnsi="Calibri"/>
          <w:b/>
          <w:color w:val="525866"/>
          <w:sz w:val="22"/>
        </w:rPr>
        <w:t>FY27 Budget Step-Up in Shipbuilding:</w:t>
      </w:r>
      <w:r>
        <w:rPr>
          <w:rFonts w:ascii="Calibri" w:hAnsi="Calibri"/>
          <w:color w:val="525866"/>
          <w:sz w:val="22"/>
        </w:rPr>
        <w:t xml:space="preserve"> GD noted a "fairly large step-up in shipbuilding dollars" in the FY27 budget request. </w:t>
      </w:r>
      <w:r>
        <w:rPr>
          <w:rFonts w:ascii="Calibri" w:hAnsi="Calibri"/>
          <w:i/>
          <w:color w:val="525866"/>
          <w:sz w:val="22"/>
        </w:rPr>
        <w:t>LMT Read-Through:</w:t>
      </w:r>
      <w:r>
        <w:rPr>
          <w:rFonts w:ascii="Calibri" w:hAnsi="Calibri"/>
          <w:color w:val="525866"/>
          <w:sz w:val="22"/>
        </w:rPr>
        <w:t xml:space="preserve"> Indirect positive for LMT's Space and RMS segments, which include naval systems and mission technologies.</w:t>
      </w:r>
    </w:p>
    <w:p>
      <w:pPr>
        <w:pStyle w:val="Heading3"/>
      </w:pPr>
      <w:r>
        <w:rPr>
          <w:rFonts w:ascii="Calibri" w:hAnsi="Calibri"/>
          <w:b/>
          <w:color w:val="3B4259"/>
          <w:sz w:val="24"/>
        </w:rPr>
        <w:t>Huntington Ingalls Industries (HII) — Q1 2026 Earnings Call (May 5, 2026)</w:t>
      </w:r>
    </w:p>
    <w:p>
      <w:pPr>
        <w:pStyle w:val="ListBullet"/>
        <w:ind w:left="360" w:hanging="360"/>
      </w:pPr>
      <w:r>
        <w:rPr>
          <w:rFonts w:ascii="Calibri" w:hAnsi="Calibri"/>
          <w:b/>
          <w:color w:val="525866"/>
          <w:sz w:val="22"/>
        </w:rPr>
        <w:t>Bipartisan Defense Support Confirmed:</w:t>
      </w:r>
      <w:r>
        <w:rPr>
          <w:rFonts w:ascii="Calibri" w:hAnsi="Calibri"/>
          <w:color w:val="525866"/>
          <w:sz w:val="22"/>
        </w:rPr>
        <w:t xml:space="preserve"> HII cited "continued bipartisan support" for defense programs in the 2026 Consolidated Appropriations Act, including funding for multiple major shipbuilding programs. </w:t>
      </w:r>
      <w:r>
        <w:rPr>
          <w:rFonts w:ascii="Calibri" w:hAnsi="Calibri"/>
          <w:i/>
          <w:color w:val="525866"/>
          <w:sz w:val="22"/>
        </w:rPr>
        <w:t>LMT Read-Through:</w:t>
      </w:r>
      <w:r>
        <w:rPr>
          <w:rFonts w:ascii="Calibri" w:hAnsi="Calibri"/>
          <w:color w:val="525866"/>
          <w:sz w:val="22"/>
        </w:rPr>
        <w:t xml:space="preserve"> Validates the stable funding environment for LMT's core programs; bipartisan support reduces political risk to the MFC ramp.</w:t>
      </w:r>
    </w:p>
    <w:p>
      <w:pPr>
        <w:pStyle w:val="ListBullet"/>
        <w:ind w:left="360" w:hanging="360"/>
      </w:pPr>
      <w:r>
        <w:rPr>
          <w:rFonts w:ascii="Calibri" w:hAnsi="Calibri"/>
          <w:b/>
          <w:color w:val="525866"/>
          <w:sz w:val="22"/>
        </w:rPr>
        <w:t>$151B Missile Defense Agency SHIELD Contract:</w:t>
      </w:r>
      <w:r>
        <w:rPr>
          <w:rFonts w:ascii="Calibri" w:hAnsi="Calibri"/>
          <w:color w:val="525866"/>
          <w:sz w:val="22"/>
        </w:rPr>
        <w:t xml:space="preserve"> HII was awarded a position on the $151B ceiling Missile Defense Agency SHIELD multi-award contract. </w:t>
      </w:r>
      <w:r>
        <w:rPr>
          <w:rFonts w:ascii="Calibri" w:hAnsi="Calibri"/>
          <w:i/>
          <w:color w:val="525866"/>
          <w:sz w:val="22"/>
        </w:rPr>
        <w:t>LMT Read-Through:</w:t>
      </w:r>
      <w:r>
        <w:rPr>
          <w:rFonts w:ascii="Calibri" w:hAnsi="Calibri"/>
          <w:color w:val="525866"/>
          <w:sz w:val="22"/>
        </w:rPr>
        <w:t xml:space="preserve"> Confirms substantial government commitment to missile defense — a core LMT business area; the scale of the SHIELD contract ceiling validates the long-term missile defense investment thesis.</w:t>
      </w:r>
    </w:p>
    <w:p>
      <w:pPr>
        <w:pStyle w:val="ListBullet"/>
        <w:ind w:left="360" w:hanging="360"/>
      </w:pPr>
      <w:r>
        <w:rPr>
          <w:rFonts w:ascii="Calibri" w:hAnsi="Calibri"/>
          <w:b/>
          <w:color w:val="525866"/>
          <w:sz w:val="22"/>
        </w:rPr>
        <w:t>FY27 Budget Reflects Increased Autonomous Systems Investment:</w:t>
      </w:r>
      <w:r>
        <w:rPr>
          <w:rFonts w:ascii="Calibri" w:hAnsi="Calibri"/>
          <w:color w:val="525866"/>
          <w:sz w:val="22"/>
        </w:rPr>
        <w:t xml:space="preserve"> The FY27 budget request reflects "increased investments in capability enablers, including autonomous systems." </w:t>
      </w:r>
      <w:r>
        <w:rPr>
          <w:rFonts w:ascii="Calibri" w:hAnsi="Calibri"/>
          <w:i/>
          <w:color w:val="525866"/>
          <w:sz w:val="22"/>
        </w:rPr>
        <w:t>LMT Read-Through:</w:t>
      </w:r>
      <w:r>
        <w:rPr>
          <w:rFonts w:ascii="Calibri" w:hAnsi="Calibri"/>
          <w:color w:val="525866"/>
          <w:sz w:val="22"/>
        </w:rPr>
        <w:t xml:space="preserve"> Positive for LMT's autonomous Black Hawk program and counter-UAS initiatives; the budget environment supports LMT's innovation investments.</w:t>
      </w:r>
    </w:p>
    <w:p>
      <w:pPr>
        <w:pStyle w:val="ListBullet"/>
        <w:ind w:left="360" w:hanging="360"/>
      </w:pPr>
      <w:r>
        <w:rPr>
          <w:rFonts w:ascii="Calibri" w:hAnsi="Calibri"/>
          <w:b/>
          <w:color w:val="525866"/>
          <w:sz w:val="22"/>
        </w:rPr>
        <w:t>HII Backlog Increased to $54B:</w:t>
      </w:r>
      <w:r>
        <w:rPr>
          <w:rFonts w:ascii="Calibri" w:hAnsi="Calibri"/>
          <w:color w:val="525866"/>
          <w:sz w:val="22"/>
        </w:rPr>
        <w:t xml:space="preserve"> HII's backlog grew to $54B with the FY27 draft budget showing "even more of an appetite for additional ships." </w:t>
      </w:r>
      <w:r>
        <w:rPr>
          <w:rFonts w:ascii="Calibri" w:hAnsi="Calibri"/>
          <w:i/>
          <w:color w:val="525866"/>
          <w:sz w:val="22"/>
        </w:rPr>
        <w:t>LMT Read-Through:</w:t>
      </w:r>
      <w:r>
        <w:rPr>
          <w:rFonts w:ascii="Calibri" w:hAnsi="Calibri"/>
          <w:color w:val="525866"/>
          <w:sz w:val="22"/>
        </w:rPr>
        <w:t xml:space="preserve"> Consistent with the broad defense demand environment; sector-wide backlog growth supports LMT's own backlog durability.</w:t>
      </w:r>
    </w:p>
    <w:p>
      <w:r>
        <w:rPr>
          <w:rFonts w:ascii="Calibri" w:hAnsi="Calibri"/>
          <w:i/>
          <w:color w:val="525866"/>
          <w:sz w:val="22"/>
        </w:rPr>
        <w:t>Sources: NOC Q2 2026 Earnings Call transcript (July 21, 2026); LHX Q1 2026 Earnings Call transcript (April 30, 2026); GD Q1 2026 Earnings Call transcript (April 29, 2026); HII Q1 2026 Earnings Call transcript (May 5,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since the Q1 earnings print — the only transactions are routine director deferred compensation plan accruals (non-economic) and a single gift/transfer by the RMS President; </w:t>
      </w:r>
      <w:r>
        <w:rPr>
          <w:rFonts w:ascii="Calibri" w:hAnsi="Calibri"/>
          <w:b/>
          <w:color w:val="525866"/>
          <w:sz w:val="22"/>
        </w:rPr>
        <w:t>the absence of insider selling is a mild positive</w:t>
      </w:r>
      <w:r>
        <w:rPr>
          <w:rFonts w:ascii="Calibri" w:hAnsi="Calibri"/>
          <w:color w:val="525866"/>
          <w:sz w:val="22"/>
        </w:rPr>
        <w:t xml:space="preserve"> given the stock's ~7% decline since Q1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David B. Burritt</w:t>
            </w:r>
          </w:p>
        </w:tc>
        <w:tc>
          <w:tcPr>
            <w:tcW w:type="dxa" w:w="1440"/>
          </w:tcPr>
          <w:p>
            <w:r>
              <w:rPr>
                <w:rFonts w:ascii="Calibri" w:hAnsi="Calibri"/>
                <w:sz w:val="22"/>
              </w:rPr>
              <w:t>Director</w:t>
            </w:r>
          </w:p>
        </w:tc>
        <w:tc>
          <w:tcPr>
            <w:tcW w:type="dxa" w:w="1440"/>
          </w:tcPr>
          <w:p>
            <w:r>
              <w:rPr>
                <w:rFonts w:ascii="Calibri" w:hAnsi="Calibri"/>
                <w:sz w:val="22"/>
              </w:rPr>
              <w:t>Deferred Comp. Accrual (Code A)</w:t>
            </w:r>
          </w:p>
        </w:tc>
        <w:tc>
          <w:tcPr>
            <w:tcW w:type="dxa" w:w="1440"/>
          </w:tcPr>
          <w:p>
            <w:r>
              <w:rPr>
                <w:rFonts w:ascii="Calibri" w:hAnsi="Calibri"/>
                <w:sz w:val="22"/>
              </w:rPr>
              <w:t>83.42 Phantom Stock Units</w:t>
            </w:r>
          </w:p>
        </w:tc>
        <w:tc>
          <w:tcPr>
            <w:tcW w:type="dxa" w:w="1440"/>
          </w:tcPr>
          <w:p>
            <w:r>
              <w:rPr>
                <w:rFonts w:ascii="Calibri" w:hAnsi="Calibri"/>
                <w:sz w:val="22"/>
              </w:rPr>
              <w:t>June 30, 2026</w:t>
            </w:r>
          </w:p>
        </w:tc>
        <w:tc>
          <w:tcPr>
            <w:tcW w:type="dxa" w:w="1440"/>
          </w:tcPr>
          <w:p>
            <w:r>
              <w:rPr>
                <w:rFonts w:ascii="Calibri" w:hAnsi="Calibri"/>
                <w:sz w:val="22"/>
              </w:rPr>
              <w:t>Routine director deferred compensation plan accrual; non-economic, no cash transaction; not a discretionary buy or sell</w:t>
            </w:r>
          </w:p>
        </w:tc>
      </w:tr>
      <w:tr>
        <w:tc>
          <w:tcPr>
            <w:tcW w:type="dxa" w:w="1440"/>
          </w:tcPr>
          <w:p>
            <w:r>
              <w:rPr>
                <w:rFonts w:ascii="Calibri" w:hAnsi="Calibri"/>
                <w:sz w:val="22"/>
              </w:rPr>
              <w:t>John Donovan</w:t>
            </w:r>
          </w:p>
        </w:tc>
        <w:tc>
          <w:tcPr>
            <w:tcW w:type="dxa" w:w="1440"/>
          </w:tcPr>
          <w:p>
            <w:r>
              <w:rPr>
                <w:rFonts w:ascii="Calibri" w:hAnsi="Calibri"/>
                <w:sz w:val="22"/>
              </w:rPr>
              <w:t>Director</w:t>
            </w:r>
          </w:p>
        </w:tc>
        <w:tc>
          <w:tcPr>
            <w:tcW w:type="dxa" w:w="1440"/>
          </w:tcPr>
          <w:p>
            <w:r>
              <w:rPr>
                <w:rFonts w:ascii="Calibri" w:hAnsi="Calibri"/>
                <w:sz w:val="22"/>
              </w:rPr>
              <w:t>Deferred Comp. Accrual (Code A)</w:t>
            </w:r>
          </w:p>
        </w:tc>
        <w:tc>
          <w:tcPr>
            <w:tcW w:type="dxa" w:w="1440"/>
          </w:tcPr>
          <w:p>
            <w:r>
              <w:rPr>
                <w:rFonts w:ascii="Calibri" w:hAnsi="Calibri"/>
                <w:sz w:val="22"/>
              </w:rPr>
              <w:t>96.92 Phantom Stock Units</w:t>
            </w:r>
          </w:p>
        </w:tc>
        <w:tc>
          <w:tcPr>
            <w:tcW w:type="dxa" w:w="1440"/>
          </w:tcPr>
          <w:p>
            <w:r>
              <w:rPr>
                <w:rFonts w:ascii="Calibri" w:hAnsi="Calibri"/>
                <w:sz w:val="22"/>
              </w:rPr>
              <w:t>June 30, 2026</w:t>
            </w:r>
          </w:p>
        </w:tc>
        <w:tc>
          <w:tcPr>
            <w:tcW w:type="dxa" w:w="1440"/>
          </w:tcPr>
          <w:p>
            <w:r>
              <w:rPr>
                <w:rFonts w:ascii="Calibri" w:hAnsi="Calibri"/>
                <w:sz w:val="22"/>
              </w:rPr>
              <w:t>Routine director deferred compensation plan accrual; non-economic, no cash transaction; not a discretionary buy or sell</w:t>
            </w:r>
          </w:p>
        </w:tc>
      </w:tr>
      <w:tr>
        <w:tc>
          <w:tcPr>
            <w:tcW w:type="dxa" w:w="1440"/>
          </w:tcPr>
          <w:p>
            <w:r>
              <w:rPr>
                <w:rFonts w:ascii="Calibri" w:hAnsi="Calibri"/>
                <w:sz w:val="22"/>
              </w:rPr>
              <w:t>Stephanie C. Hill</w:t>
            </w:r>
          </w:p>
        </w:tc>
        <w:tc>
          <w:tcPr>
            <w:tcW w:type="dxa" w:w="1440"/>
          </w:tcPr>
          <w:p>
            <w:r>
              <w:rPr>
                <w:rFonts w:ascii="Calibri" w:hAnsi="Calibri"/>
                <w:sz w:val="22"/>
              </w:rPr>
              <w:t>President, Rotary &amp; Mission Systems</w:t>
            </w:r>
          </w:p>
        </w:tc>
        <w:tc>
          <w:tcPr>
            <w:tcW w:type="dxa" w:w="1440"/>
          </w:tcPr>
          <w:p>
            <w:r>
              <w:rPr>
                <w:rFonts w:ascii="Calibri" w:hAnsi="Calibri"/>
                <w:sz w:val="22"/>
              </w:rPr>
              <w:t>Gift / Transfer (Code G)</w:t>
            </w:r>
          </w:p>
        </w:tc>
        <w:tc>
          <w:tcPr>
            <w:tcW w:type="dxa" w:w="1440"/>
          </w:tcPr>
          <w:p>
            <w:r>
              <w:rPr>
                <w:rFonts w:ascii="Calibri" w:hAnsi="Calibri"/>
                <w:sz w:val="22"/>
              </w:rPr>
              <w:t>368 shares of Common Stock</w:t>
            </w:r>
          </w:p>
        </w:tc>
        <w:tc>
          <w:tcPr>
            <w:tcW w:type="dxa" w:w="1440"/>
          </w:tcPr>
          <w:p>
            <w:r>
              <w:rPr>
                <w:rFonts w:ascii="Calibri" w:hAnsi="Calibri"/>
                <w:sz w:val="22"/>
              </w:rPr>
              <w:t>June 11, 2026</w:t>
            </w:r>
          </w:p>
        </w:tc>
        <w:tc>
          <w:tcPr>
            <w:tcW w:type="dxa" w:w="1440"/>
          </w:tcPr>
          <w:p>
            <w:r>
              <w:rPr>
                <w:rFonts w:ascii="Calibri" w:hAnsi="Calibri"/>
                <w:sz w:val="22"/>
              </w:rPr>
              <w:t>Gift or transfer of shares (not a market sale); no cash proceeds; non-discretionary; Hill retains 8,964 shares post-transaction</w:t>
            </w:r>
          </w:p>
        </w:tc>
      </w:tr>
    </w:tbl>
    <w:p>
      <w:r>
        <w:rPr>
          <w:rFonts w:ascii="Calibri" w:hAnsi="Calibri"/>
          <w:color w:val="525866"/>
          <w:sz w:val="22"/>
        </w:rPr>
        <w:t>No open-market buys (Form 4 Code P) or open-market sells (Form 4 Code S) were filed by LMT insiders in the period since the Q1 2026 earnings print (April 23, 2026). The two director transactions are routine deferred compensation plan accruals with no economic significance. The RMS President's gift transaction (Code G) involves no cash proceeds and is not a market sale. The absence of any discretionary insider selling despite the stock's ~7% decline from pre-earnings levels is a mild positive signal — insiders are not taking advantage of any recovery rallies to reduce exposure.</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