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Lockheed Martin Corporation (LMT)</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Earnings Date</w:t>
            </w:r>
          </w:p>
        </w:tc>
        <w:tc>
          <w:tcPr>
            <w:tcW w:type="dxa" w:w="4320"/>
          </w:tcPr>
          <w:p>
            <w:r>
              <w:rPr>
                <w:rFonts w:ascii="Calibri" w:hAnsi="Calibri"/>
                <w:sz w:val="22"/>
              </w:rPr>
              <w:t>July 23, 2026 — Pre-Market (8:30 AM ET)</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Reporting Period</w:t>
            </w:r>
          </w:p>
        </w:tc>
        <w:tc>
          <w:tcPr>
            <w:tcW w:type="dxa" w:w="4320"/>
          </w:tcPr>
          <w:p>
            <w:r>
              <w:rPr>
                <w:rFonts w:ascii="Calibri" w:hAnsi="Calibri"/>
                <w:sz w:val="22"/>
              </w:rPr>
              <w:t>Q2 2026 (April – June 2026)</w:t>
            </w:r>
          </w:p>
        </w:tc>
      </w:tr>
      <w:tr>
        <w:tc>
          <w:tcPr>
            <w:tcW w:type="dxa" w:w="4320"/>
          </w:tcPr>
          <w:p>
            <w:r>
              <w:rPr>
                <w:rFonts w:ascii="Calibri" w:hAnsi="Calibri"/>
                <w:b/>
                <w:sz w:val="22"/>
              </w:rPr>
              <w:t>Last Earnings</w:t>
            </w:r>
          </w:p>
        </w:tc>
        <w:tc>
          <w:tcPr>
            <w:tcW w:type="dxa" w:w="4320"/>
          </w:tcPr>
          <w:p>
            <w:r>
              <w:rPr>
                <w:rFonts w:ascii="Calibri" w:hAnsi="Calibri"/>
                <w:sz w:val="22"/>
              </w:rPr>
              <w:t>April 23, 2026 (Q1 2026)</w:t>
            </w:r>
          </w:p>
        </w:tc>
      </w:tr>
      <w:tr>
        <w:tc>
          <w:tcPr>
            <w:tcW w:type="dxa" w:w="4320"/>
          </w:tcPr>
          <w:p>
            <w:r>
              <w:rPr>
                <w:rFonts w:ascii="Calibri" w:hAnsi="Calibri"/>
                <w:b/>
                <w:sz w:val="22"/>
              </w:rPr>
              <w:t>Sector ETF Benchmark</w:t>
            </w:r>
          </w:p>
        </w:tc>
        <w:tc>
          <w:tcPr>
            <w:tcW w:type="dxa" w:w="4320"/>
          </w:tcPr>
          <w:p>
            <w:r>
              <w:rPr>
                <w:rFonts w:ascii="Calibri" w:hAnsi="Calibri"/>
                <w:sz w:val="22"/>
              </w:rPr>
              <w:t>ITA (iShares U.S. Aerospace &amp; Defense ETF)</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is modestly constructive — consensus is a manageable bar after Q1's miss reset expectations, and the single biggest swing factor is whether </w:t>
      </w:r>
      <w:r>
        <w:rPr>
          <w:rFonts w:ascii="Calibri" w:hAnsi="Calibri"/>
          <w:b/>
          <w:color w:val="525866"/>
          <w:sz w:val="22"/>
        </w:rPr>
        <w:t>MFC missile ramp momentum</w:t>
      </w:r>
      <w:r>
        <w:rPr>
          <w:rFonts w:ascii="Calibri" w:hAnsi="Calibri"/>
          <w:color w:val="525866"/>
          <w:sz w:val="22"/>
        </w:rPr>
        <w:t xml:space="preserve"> (PAC-3, THAAD, JASSM/LRASM) can offset continued Aeronautics margin drag and deliver the free cash flow inflection management promised for Q2.</w:t>
      </w:r>
    </w:p>
    <w:p>
      <w:r>
        <w:rPr>
          <w:rFonts w:ascii="Calibri" w:hAnsi="Calibri"/>
          <w:color w:val="525866"/>
          <w:sz w:val="22"/>
        </w:rPr>
        <w:t xml:space="preserve">Heading into Q2 2026, the bar for Lockheed Martin looks achievable but not easy. Consensus EPS of ~$7.31 (operating) and revenue of ~$19.3B represent roughly 6% year-over-year top-line growth — a step up from Q1's flat print — and management explicitly guided for "successive sales and margin growth throughout the year" with Q2 as the first meaningful inflection point. The </w:t>
      </w:r>
      <w:r>
        <w:rPr>
          <w:rFonts w:ascii="Calibri" w:hAnsi="Calibri"/>
          <w:b/>
          <w:color w:val="525866"/>
          <w:sz w:val="22"/>
        </w:rPr>
        <w:t>guidance posture is unchanged and confident</w:t>
      </w:r>
      <w:r>
        <w:rPr>
          <w:rFonts w:ascii="Calibri" w:hAnsi="Calibri"/>
          <w:color w:val="525866"/>
          <w:sz w:val="22"/>
        </w:rPr>
        <w:t xml:space="preserve">: full-year 2026 targets (mid-single-digit sales growth, segment profit $8.4–$8.7B, FCF $6.5–$6.8B) were reaffirmed in April, and IRS favorable guidance on the Corporate Alternative Minimum Tax nudged management toward the upper end of the FCF range. Estimate revisions have been modestly positive since the Q1 print — Q2 EPS consensus has drifted from ~$7.12 to ~$7.31 over the past 13 weeks — suggesting the Street is gradually gaining confidence in the ramp trajectory rather than fading it. The stock, however, has underperformed: LMT is down ~3% since the Q1 print versus ITA roughly flat and SPY up ~5%, implying the multiple has compressed and the stock is not pricing in a beat, which creates an asymmetric setup if MFC delivers. The key wildcard is </w:t>
      </w:r>
      <w:r>
        <w:rPr>
          <w:rFonts w:ascii="Calibri" w:hAnsi="Calibri"/>
          <w:b/>
          <w:color w:val="525866"/>
          <w:sz w:val="22"/>
        </w:rPr>
        <w:t>free cash flow conversion</w:t>
      </w:r>
      <w:r>
        <w:rPr>
          <w:rFonts w:ascii="Calibri" w:hAnsi="Calibri"/>
          <w:color w:val="525866"/>
          <w:sz w:val="22"/>
        </w:rPr>
        <w:t>: Q1 FCF was a use of $291M (ERP system disruption), and Q2 is the quarter management promised resolution — a clean FCF print above $800M–$1B would be the most powerful positive catalyst, while another shortfall would re-open the debate about the full-year $6.5–$6.8B target.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but not low bar — revenue growth of ~6% YoY is achievable given backlog conversion, but </w:t>
      </w:r>
      <w:r>
        <w:rPr>
          <w:rFonts w:ascii="Calibri" w:hAnsi="Calibri"/>
          <w:b/>
          <w:color w:val="525866"/>
          <w:sz w:val="22"/>
        </w:rPr>
        <w:t>free cash flow is the bigger swing factor</w:t>
      </w:r>
      <w:r>
        <w:rPr>
          <w:rFonts w:ascii="Calibri" w:hAnsi="Calibri"/>
          <w:color w:val="525866"/>
          <w:sz w:val="22"/>
        </w:rPr>
        <w:t>: Q2 is the quarter management promised the Q1 ERP disruption resolves, and any shortfall would pressure the full-year $6.5–$6.8B guide.</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Sales ($B)</w:t>
            </w:r>
          </w:p>
        </w:tc>
        <w:tc>
          <w:tcPr>
            <w:tcW w:type="dxa" w:w="1234"/>
          </w:tcPr>
          <w:p>
            <w:r>
              <w:rPr>
                <w:rFonts w:ascii="Calibri" w:hAnsi="Calibri"/>
                <w:sz w:val="22"/>
              </w:rPr>
              <w:t>$18.02B</w:t>
            </w:r>
          </w:p>
        </w:tc>
        <w:tc>
          <w:tcPr>
            <w:tcW w:type="dxa" w:w="1234"/>
          </w:tcPr>
          <w:p>
            <w:r>
              <w:rPr>
                <w:rFonts w:ascii="Calibri" w:hAnsi="Calibri"/>
                <w:sz w:val="22"/>
              </w:rPr>
              <w:t>$18.16B</w:t>
            </w:r>
          </w:p>
        </w:tc>
        <w:tc>
          <w:tcPr>
            <w:tcW w:type="dxa" w:w="1234"/>
          </w:tcPr>
          <w:p>
            <w:r>
              <w:rPr>
                <w:rFonts w:ascii="Calibri" w:hAnsi="Calibri"/>
                <w:sz w:val="22"/>
              </w:rPr>
              <w:t>$19.33B</w:t>
            </w:r>
          </w:p>
        </w:tc>
        <w:tc>
          <w:tcPr>
            <w:tcW w:type="dxa" w:w="1234"/>
          </w:tcPr>
          <w:p>
            <w:r>
              <w:rPr>
                <w:rFonts w:ascii="Calibri" w:hAnsi="Calibri"/>
                <w:b/>
                <w:color w:val="30A46C"/>
                <w:sz w:val="22"/>
              </w:rPr>
              <w:t>+6.5%</w:t>
            </w:r>
          </w:p>
        </w:tc>
        <w:tc>
          <w:tcPr>
            <w:tcW w:type="dxa" w:w="1234"/>
          </w:tcPr>
          <w:p>
            <w:r>
              <w:rPr>
                <w:rFonts w:ascii="Calibri" w:hAnsi="Calibri"/>
                <w:sz w:val="22"/>
              </w:rPr>
              <w:t>Mid-single-digit growth (~$79.2B FY)</w:t>
            </w:r>
          </w:p>
        </w:tc>
        <w:tc>
          <w:tcPr>
            <w:tcW w:type="dxa" w:w="1234"/>
          </w:tcPr>
          <w:p>
            <w:r>
              <w:rPr>
                <w:rFonts w:ascii="Calibri" w:hAnsi="Calibri"/>
                <w:sz w:val="22"/>
              </w:rPr>
              <w:t>~In-line</w:t>
            </w:r>
          </w:p>
        </w:tc>
      </w:tr>
      <w:tr>
        <w:tc>
          <w:tcPr>
            <w:tcW w:type="dxa" w:w="1234"/>
          </w:tcPr>
          <w:p>
            <w:r>
              <w:rPr>
                <w:rFonts w:ascii="Calibri" w:hAnsi="Calibri"/>
                <w:sz w:val="22"/>
              </w:rPr>
              <w:t>EPS — Diluted Operating ($)</w:t>
            </w:r>
          </w:p>
        </w:tc>
        <w:tc>
          <w:tcPr>
            <w:tcW w:type="dxa" w:w="1234"/>
          </w:tcPr>
          <w:p>
            <w:r>
              <w:rPr>
                <w:rFonts w:ascii="Calibri" w:hAnsi="Calibri"/>
                <w:sz w:val="22"/>
              </w:rPr>
              <w:t>$6.44</w:t>
            </w:r>
          </w:p>
        </w:tc>
        <w:tc>
          <w:tcPr>
            <w:tcW w:type="dxa" w:w="1234"/>
          </w:tcPr>
          <w:p>
            <w:r>
              <w:rPr>
                <w:rFonts w:ascii="Calibri" w:hAnsi="Calibri"/>
                <w:sz w:val="22"/>
              </w:rPr>
              <w:t>$1.46 (reported; adj. ~$6.52)</w:t>
            </w:r>
          </w:p>
        </w:tc>
        <w:tc>
          <w:tcPr>
            <w:tcW w:type="dxa" w:w="1234"/>
          </w:tcPr>
          <w:p>
            <w:r>
              <w:rPr>
                <w:rFonts w:ascii="Calibri" w:hAnsi="Calibri"/>
                <w:sz w:val="22"/>
              </w:rPr>
              <w:t>$7.31</w:t>
            </w:r>
          </w:p>
        </w:tc>
        <w:tc>
          <w:tcPr>
            <w:tcW w:type="dxa" w:w="1234"/>
          </w:tcPr>
          <w:p>
            <w:r>
              <w:rPr>
                <w:rFonts w:ascii="Calibri" w:hAnsi="Calibri"/>
                <w:b/>
                <w:color w:val="30A46C"/>
                <w:sz w:val="22"/>
              </w:rPr>
              <w:t>+12.1% vs. adj. Q2 2025</w:t>
            </w:r>
          </w:p>
        </w:tc>
        <w:tc>
          <w:tcPr>
            <w:tcW w:type="dxa" w:w="1234"/>
          </w:tcPr>
          <w:p>
            <w:r>
              <w:rPr>
                <w:rFonts w:ascii="Calibri" w:hAnsi="Calibri"/>
                <w:sz w:val="22"/>
              </w:rPr>
              <w:t>Implied ~$29.83 FY</w:t>
            </w:r>
          </w:p>
        </w:tc>
        <w:tc>
          <w:tcPr>
            <w:tcW w:type="dxa" w:w="1234"/>
          </w:tcPr>
          <w:p>
            <w:r>
              <w:rPr>
                <w:rFonts w:ascii="Calibri" w:hAnsi="Calibri"/>
                <w:sz w:val="22"/>
              </w:rPr>
              <w:t>~In-line</w:t>
            </w:r>
          </w:p>
        </w:tc>
      </w:tr>
      <w:tr>
        <w:tc>
          <w:tcPr>
            <w:tcW w:type="dxa" w:w="1234"/>
          </w:tcPr>
          <w:p>
            <w:r>
              <w:rPr>
                <w:rFonts w:ascii="Calibri" w:hAnsi="Calibri"/>
                <w:sz w:val="22"/>
              </w:rPr>
              <w:t>Free Cash Flow ($B)</w:t>
            </w:r>
          </w:p>
        </w:tc>
        <w:tc>
          <w:tcPr>
            <w:tcW w:type="dxa" w:w="1234"/>
          </w:tcPr>
          <w:p>
            <w:r>
              <w:rPr>
                <w:rFonts w:ascii="Calibri" w:hAnsi="Calibri"/>
                <w:sz w:val="22"/>
              </w:rPr>
              <w:t>($0.29B) use</w:t>
            </w:r>
          </w:p>
        </w:tc>
        <w:tc>
          <w:tcPr>
            <w:tcW w:type="dxa" w:w="1234"/>
          </w:tcPr>
          <w:p>
            <w:r>
              <w:rPr>
                <w:rFonts w:ascii="Calibri" w:hAnsi="Calibri"/>
                <w:sz w:val="22"/>
              </w:rPr>
              <w:t>($0.15B) use</w:t>
            </w:r>
          </w:p>
        </w:tc>
        <w:tc>
          <w:tcPr>
            <w:tcW w:type="dxa" w:w="1234"/>
          </w:tcPr>
          <w:p>
            <w:r>
              <w:rPr>
                <w:rFonts w:ascii="Calibri" w:hAnsi="Calibri"/>
                <w:sz w:val="22"/>
              </w:rPr>
              <w:t>$0.86B</w:t>
            </w:r>
          </w:p>
        </w:tc>
        <w:tc>
          <w:tcPr>
            <w:tcW w:type="dxa" w:w="1234"/>
          </w:tcPr>
          <w:p>
            <w:r>
              <w:rPr>
                <w:rFonts w:ascii="Calibri" w:hAnsi="Calibri"/>
                <w:sz w:val="22"/>
              </w:rPr>
              <w:t>N/M (both negative PY)</w:t>
            </w:r>
          </w:p>
        </w:tc>
        <w:tc>
          <w:tcPr>
            <w:tcW w:type="dxa" w:w="1234"/>
          </w:tcPr>
          <w:p>
            <w:r>
              <w:rPr>
                <w:rFonts w:ascii="Calibri" w:hAnsi="Calibri"/>
                <w:sz w:val="22"/>
              </w:rPr>
              <w:t>$6.5–$6.8B FY</w:t>
            </w:r>
          </w:p>
        </w:tc>
        <w:tc>
          <w:tcPr>
            <w:tcW w:type="dxa" w:w="1234"/>
          </w:tcPr>
          <w:p>
            <w:r>
              <w:rPr>
                <w:rFonts w:ascii="Calibri" w:hAnsi="Calibri"/>
                <w:sz w:val="22"/>
              </w:rPr>
              <w:t>FY cons. $6.30B vs. guide mid $6.65B (−10%)</w:t>
            </w:r>
          </w:p>
        </w:tc>
      </w:tr>
      <w:tr>
        <w:tc>
          <w:tcPr>
            <w:tcW w:type="dxa" w:w="1234"/>
          </w:tcPr>
          <w:p>
            <w:r>
              <w:rPr>
                <w:rFonts w:ascii="Calibri" w:hAnsi="Calibri"/>
                <w:sz w:val="22"/>
              </w:rPr>
              <w:t>Backlog ($B)</w:t>
            </w:r>
          </w:p>
        </w:tc>
        <w:tc>
          <w:tcPr>
            <w:tcW w:type="dxa" w:w="1234"/>
          </w:tcPr>
          <w:p>
            <w:r>
              <w:rPr>
                <w:rFonts w:ascii="Calibri" w:hAnsi="Calibri"/>
                <w:sz w:val="22"/>
              </w:rPr>
              <w:t>$186.4B</w:t>
            </w:r>
          </w:p>
        </w:tc>
        <w:tc>
          <w:tcPr>
            <w:tcW w:type="dxa" w:w="1234"/>
          </w:tcPr>
          <w:p>
            <w:r>
              <w:rPr>
                <w:rFonts w:ascii="Calibri" w:hAnsi="Calibri"/>
                <w:sz w:val="22"/>
              </w:rPr>
              <w:t>$166.5B</w:t>
            </w:r>
          </w:p>
        </w:tc>
        <w:tc>
          <w:tcPr>
            <w:tcW w:type="dxa" w:w="1234"/>
          </w:tcPr>
          <w:p>
            <w:r>
              <w:rPr>
                <w:rFonts w:ascii="Calibri" w:hAnsi="Calibri"/>
                <w:sz w:val="22"/>
              </w:rPr>
              <w:t>$171.2B</w:t>
            </w:r>
          </w:p>
        </w:tc>
        <w:tc>
          <w:tcPr>
            <w:tcW w:type="dxa" w:w="1234"/>
          </w:tcPr>
          <w:p>
            <w:r>
              <w:rPr>
                <w:rFonts w:ascii="Calibri" w:hAnsi="Calibri"/>
                <w:b/>
                <w:color w:val="30A46C"/>
                <w:sz w:val="22"/>
              </w:rPr>
              <w:t>+2.8% YoY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Sales — MFC ($B)</w:t>
            </w:r>
          </w:p>
        </w:tc>
        <w:tc>
          <w:tcPr>
            <w:tcW w:type="dxa" w:w="1234"/>
          </w:tcPr>
          <w:p>
            <w:r>
              <w:rPr>
                <w:rFonts w:ascii="Calibri" w:hAnsi="Calibri"/>
                <w:sz w:val="22"/>
              </w:rPr>
              <w:t>$3.65B</w:t>
            </w:r>
          </w:p>
        </w:tc>
        <w:tc>
          <w:tcPr>
            <w:tcW w:type="dxa" w:w="1234"/>
          </w:tcPr>
          <w:p>
            <w:r>
              <w:rPr>
                <w:rFonts w:ascii="Calibri" w:hAnsi="Calibri"/>
                <w:sz w:val="22"/>
              </w:rPr>
              <w:t>$3.43B</w:t>
            </w:r>
          </w:p>
        </w:tc>
        <w:tc>
          <w:tcPr>
            <w:tcW w:type="dxa" w:w="1234"/>
          </w:tcPr>
          <w:p>
            <w:r>
              <w:rPr>
                <w:rFonts w:ascii="Calibri" w:hAnsi="Calibri"/>
                <w:sz w:val="22"/>
              </w:rPr>
              <w:t>$4.02B</w:t>
            </w:r>
          </w:p>
        </w:tc>
        <w:tc>
          <w:tcPr>
            <w:tcW w:type="dxa" w:w="1234"/>
          </w:tcPr>
          <w:p>
            <w:r>
              <w:rPr>
                <w:rFonts w:ascii="Calibri" w:hAnsi="Calibri"/>
                <w:b/>
                <w:color w:val="30A46C"/>
                <w:sz w:val="22"/>
              </w:rPr>
              <w:t>+17.2% YoY</w:t>
            </w:r>
          </w:p>
        </w:tc>
        <w:tc>
          <w:tcPr>
            <w:tcW w:type="dxa" w:w="1234"/>
          </w:tcPr>
          <w:p>
            <w:r>
              <w:rPr>
                <w:rFonts w:ascii="Calibri" w:hAnsi="Calibri"/>
                <w:sz w:val="22"/>
              </w:rPr>
              <w:t>~$16.7B FY</w:t>
            </w:r>
          </w:p>
        </w:tc>
        <w:tc>
          <w:tcPr>
            <w:tcW w:type="dxa" w:w="1234"/>
          </w:tcPr>
          <w:p>
            <w:r>
              <w:rPr>
                <w:rFonts w:ascii="Calibri" w:hAnsi="Calibri"/>
                <w:sz w:val="22"/>
              </w:rPr>
              <w:t>~In-line</w:t>
            </w:r>
          </w:p>
        </w:tc>
      </w:tr>
      <w:tr>
        <w:tc>
          <w:tcPr>
            <w:tcW w:type="dxa" w:w="1234"/>
          </w:tcPr>
          <w:p>
            <w:r>
              <w:rPr>
                <w:rFonts w:ascii="Calibri" w:hAnsi="Calibri"/>
                <w:sz w:val="22"/>
              </w:rPr>
              <w:t>MFC Operating Profit ($M)</w:t>
            </w:r>
          </w:p>
        </w:tc>
        <w:tc>
          <w:tcPr>
            <w:tcW w:type="dxa" w:w="1234"/>
          </w:tcPr>
          <w:p>
            <w:r>
              <w:rPr>
                <w:rFonts w:ascii="Calibri" w:hAnsi="Calibri"/>
                <w:sz w:val="22"/>
              </w:rPr>
              <w:t>$500M</w:t>
            </w:r>
          </w:p>
        </w:tc>
        <w:tc>
          <w:tcPr>
            <w:tcW w:type="dxa" w:w="1234"/>
          </w:tcPr>
          <w:p>
            <w:r>
              <w:rPr>
                <w:rFonts w:ascii="Calibri" w:hAnsi="Calibri"/>
                <w:sz w:val="22"/>
              </w:rPr>
              <w:t>$479M</w:t>
            </w:r>
          </w:p>
        </w:tc>
        <w:tc>
          <w:tcPr>
            <w:tcW w:type="dxa" w:w="1234"/>
          </w:tcPr>
          <w:p>
            <w:r>
              <w:rPr>
                <w:rFonts w:ascii="Calibri" w:hAnsi="Calibri"/>
                <w:sz w:val="22"/>
              </w:rPr>
              <w:t>$554M</w:t>
            </w:r>
          </w:p>
        </w:tc>
        <w:tc>
          <w:tcPr>
            <w:tcW w:type="dxa" w:w="1234"/>
          </w:tcPr>
          <w:p>
            <w:r>
              <w:rPr>
                <w:rFonts w:ascii="Calibri" w:hAnsi="Calibri"/>
                <w:b/>
                <w:color w:val="30A46C"/>
                <w:sz w:val="22"/>
              </w:rPr>
              <w:t>+15.7% YoY</w:t>
            </w:r>
          </w:p>
        </w:tc>
        <w:tc>
          <w:tcPr>
            <w:tcW w:type="dxa" w:w="1234"/>
          </w:tcPr>
          <w:p>
            <w:r>
              <w:rPr>
                <w:rFonts w:ascii="Calibri" w:hAnsi="Calibri"/>
                <w:sz w:val="22"/>
              </w:rPr>
              <w:t>~$2.30B FY</w:t>
            </w:r>
          </w:p>
        </w:tc>
        <w:tc>
          <w:tcPr>
            <w:tcW w:type="dxa" w:w="1234"/>
          </w:tcPr>
          <w:p>
            <w:r>
              <w:rPr>
                <w:rFonts w:ascii="Calibri" w:hAnsi="Calibri"/>
                <w:sz w:val="22"/>
              </w:rPr>
              <w:t>~In-line</w:t>
            </w:r>
          </w:p>
        </w:tc>
      </w:tr>
      <w:tr>
        <w:tc>
          <w:tcPr>
            <w:tcW w:type="dxa" w:w="1234"/>
          </w:tcPr>
          <w:p>
            <w:r>
              <w:rPr>
                <w:rFonts w:ascii="Calibri" w:hAnsi="Calibri"/>
                <w:sz w:val="22"/>
              </w:rPr>
              <w:t>Sales — Aeronautics ($B)</w:t>
            </w:r>
          </w:p>
        </w:tc>
        <w:tc>
          <w:tcPr>
            <w:tcW w:type="dxa" w:w="1234"/>
          </w:tcPr>
          <w:p>
            <w:r>
              <w:rPr>
                <w:rFonts w:ascii="Calibri" w:hAnsi="Calibri"/>
                <w:sz w:val="22"/>
              </w:rPr>
              <w:t>$6.95B</w:t>
            </w:r>
          </w:p>
        </w:tc>
        <w:tc>
          <w:tcPr>
            <w:tcW w:type="dxa" w:w="1234"/>
          </w:tcPr>
          <w:p>
            <w:r>
              <w:rPr>
                <w:rFonts w:ascii="Calibri" w:hAnsi="Calibri"/>
                <w:sz w:val="22"/>
              </w:rPr>
              <w:t>$7.42B</w:t>
            </w:r>
          </w:p>
        </w:tc>
        <w:tc>
          <w:tcPr>
            <w:tcW w:type="dxa" w:w="1234"/>
          </w:tcPr>
          <w:p>
            <w:r>
              <w:rPr>
                <w:rFonts w:ascii="Calibri" w:hAnsi="Calibri"/>
                <w:sz w:val="22"/>
              </w:rPr>
              <w:t>$7.59B</w:t>
            </w:r>
          </w:p>
        </w:tc>
        <w:tc>
          <w:tcPr>
            <w:tcW w:type="dxa" w:w="1234"/>
          </w:tcPr>
          <w:p>
            <w:r>
              <w:rPr>
                <w:rFonts w:ascii="Calibri" w:hAnsi="Calibri"/>
                <w:sz w:val="22"/>
              </w:rPr>
              <w:t>+2.3% YoY</w:t>
            </w:r>
          </w:p>
        </w:tc>
        <w:tc>
          <w:tcPr>
            <w:tcW w:type="dxa" w:w="1234"/>
          </w:tcPr>
          <w:p>
            <w:r>
              <w:rPr>
                <w:rFonts w:ascii="Calibri" w:hAnsi="Calibri"/>
                <w:sz w:val="22"/>
              </w:rPr>
              <w:t>~$31.1B FY</w:t>
            </w:r>
          </w:p>
        </w:tc>
        <w:tc>
          <w:tcPr>
            <w:tcW w:type="dxa" w:w="1234"/>
          </w:tcPr>
          <w:p>
            <w:r>
              <w:rPr>
                <w:rFonts w:ascii="Calibri" w:hAnsi="Calibri"/>
                <w:sz w:val="22"/>
              </w:rPr>
              <w:t>~In-line</w:t>
            </w:r>
          </w:p>
        </w:tc>
      </w:tr>
      <w:tr>
        <w:tc>
          <w:tcPr>
            <w:tcW w:type="dxa" w:w="1234"/>
          </w:tcPr>
          <w:p>
            <w:r>
              <w:rPr>
                <w:rFonts w:ascii="Calibri" w:hAnsi="Calibri"/>
                <w:sz w:val="22"/>
              </w:rPr>
              <w:t>Aero Operating Profit ($M)</w:t>
            </w:r>
          </w:p>
        </w:tc>
        <w:tc>
          <w:tcPr>
            <w:tcW w:type="dxa" w:w="1234"/>
          </w:tcPr>
          <w:p>
            <w:r>
              <w:rPr>
                <w:rFonts w:ascii="Calibri" w:hAnsi="Calibri"/>
                <w:sz w:val="22"/>
              </w:rPr>
              <w:t>$619M</w:t>
            </w:r>
          </w:p>
        </w:tc>
        <w:tc>
          <w:tcPr>
            <w:tcW w:type="dxa" w:w="1234"/>
          </w:tcPr>
          <w:p>
            <w:r>
              <w:rPr>
                <w:rFonts w:ascii="Calibri" w:hAnsi="Calibri"/>
                <w:sz w:val="22"/>
              </w:rPr>
              <w:t>($98M) loss</w:t>
            </w:r>
          </w:p>
        </w:tc>
        <w:tc>
          <w:tcPr>
            <w:tcW w:type="dxa" w:w="1234"/>
          </w:tcPr>
          <w:p>
            <w:r>
              <w:rPr>
                <w:rFonts w:ascii="Calibri" w:hAnsi="Calibri"/>
                <w:sz w:val="22"/>
              </w:rPr>
              <w:t>$727M</w:t>
            </w:r>
          </w:p>
        </w:tc>
        <w:tc>
          <w:tcPr>
            <w:tcW w:type="dxa" w:w="1234"/>
          </w:tcPr>
          <w:p>
            <w:r>
              <w:rPr>
                <w:rFonts w:ascii="Calibri" w:hAnsi="Calibri"/>
                <w:sz w:val="22"/>
              </w:rPr>
              <w:t>N/M (PY loss)</w:t>
            </w:r>
          </w:p>
        </w:tc>
        <w:tc>
          <w:tcPr>
            <w:tcW w:type="dxa" w:w="1234"/>
          </w:tcPr>
          <w:p>
            <w:r>
              <w:rPr>
                <w:rFonts w:ascii="Calibri" w:hAnsi="Calibri"/>
                <w:sz w:val="22"/>
              </w:rPr>
              <w:t>~$3.01B FY</w:t>
            </w:r>
          </w:p>
        </w:tc>
        <w:tc>
          <w:tcPr>
            <w:tcW w:type="dxa" w:w="1234"/>
          </w:tcPr>
          <w:p>
            <w:r>
              <w:rPr>
                <w:rFonts w:ascii="Calibri" w:hAnsi="Calibri"/>
                <w:sz w:val="22"/>
              </w:rPr>
              <w:t>~In-line</w:t>
            </w:r>
          </w:p>
        </w:tc>
      </w:tr>
    </w:tbl>
    <w:p>
      <w:r>
        <w:rPr>
          <w:rFonts w:ascii="Calibri" w:hAnsi="Calibri"/>
          <w:color w:val="525866"/>
          <w:sz w:val="22"/>
        </w:rPr>
        <w:t>Source: Visible Alpha Consensus and Actuals Data. All consensus figures as of July 22, 2026. Q2 2025 Aeronautics operating profit was negative due to a large unfavorable EAC adjustment on the F-35 program; Q2 2026 consensus reflects normalization. FCF full-year consensus of ~$6.30B sits ~5% below the guidance midpoint of $6.65B, reflecting residual skepticism about the classified program cash burn ($500–$700M/year) and elevated CapEx ($2.5–$2.8B).</w:t>
      </w:r>
    </w:p>
    <w:p>
      <w:pPr>
        <w:pStyle w:val="Heading2"/>
      </w:pPr>
      <w:r>
        <w:rPr>
          <w:rFonts w:ascii="Calibri" w:hAnsi="Calibri"/>
          <w:b/>
          <w:color w:val="3B4259"/>
          <w:sz w:val="28"/>
        </w:rPr>
        <w:t>Table 2 — Beat/Miss History (Last 8 Quarters, Top 2 KPIs: Operating EPS &amp; Net Sales)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$6.44</w:t>
            </w:r>
          </w:p>
        </w:tc>
        <w:tc>
          <w:tcPr>
            <w:tcW w:type="dxa" w:w="1440"/>
          </w:tcPr>
          <w:p>
            <w:r>
              <w:rPr>
                <w:rFonts w:ascii="Calibri" w:hAnsi="Calibri"/>
                <w:sz w:val="22"/>
              </w:rPr>
              <w:t>$6.59</w:t>
            </w:r>
          </w:p>
        </w:tc>
        <w:tc>
          <w:tcPr>
            <w:tcW w:type="dxa" w:w="1440"/>
          </w:tcPr>
          <w:p>
            <w:r>
              <w:rPr>
                <w:rFonts w:ascii="Calibri" w:hAnsi="Calibri"/>
                <w:b/>
                <w:color w:val="E5484D"/>
                <w:sz w:val="22"/>
              </w:rPr>
              <w:t>−2.3%</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$18.02B</w:t>
            </w:r>
          </w:p>
        </w:tc>
        <w:tc>
          <w:tcPr>
            <w:tcW w:type="dxa" w:w="1440"/>
          </w:tcPr>
          <w:p>
            <w:r>
              <w:rPr>
                <w:rFonts w:ascii="Calibri" w:hAnsi="Calibri"/>
                <w:sz w:val="22"/>
              </w:rPr>
              <w:t>$18.19B</w:t>
            </w:r>
          </w:p>
        </w:tc>
        <w:tc>
          <w:tcPr>
            <w:tcW w:type="dxa" w:w="1440"/>
          </w:tcPr>
          <w:p>
            <w:r>
              <w:rPr>
                <w:rFonts w:ascii="Calibri" w:hAnsi="Calibri"/>
                <w:b/>
                <w:color w:val="E5484D"/>
                <w:sz w:val="22"/>
              </w:rPr>
              <w:t>−0.9%</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$5.80</w:t>
            </w:r>
          </w:p>
        </w:tc>
        <w:tc>
          <w:tcPr>
            <w:tcW w:type="dxa" w:w="1440"/>
          </w:tcPr>
          <w:p>
            <w:r>
              <w:rPr>
                <w:rFonts w:ascii="Calibri" w:hAnsi="Calibri"/>
                <w:sz w:val="22"/>
              </w:rPr>
              <w:t>$5.45</w:t>
            </w:r>
          </w:p>
        </w:tc>
        <w:tc>
          <w:tcPr>
            <w:tcW w:type="dxa" w:w="1440"/>
          </w:tcPr>
          <w:p>
            <w:r>
              <w:rPr>
                <w:rFonts w:ascii="Calibri" w:hAnsi="Calibri"/>
                <w:b/>
                <w:color w:val="30A46C"/>
                <w:sz w:val="22"/>
              </w:rPr>
              <w:t>+6.4%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$20.32B</w:t>
            </w:r>
          </w:p>
        </w:tc>
        <w:tc>
          <w:tcPr>
            <w:tcW w:type="dxa" w:w="1440"/>
          </w:tcPr>
          <w:p>
            <w:r>
              <w:rPr>
                <w:rFonts w:ascii="Calibri" w:hAnsi="Calibri"/>
                <w:sz w:val="22"/>
              </w:rPr>
              <w:t>$19.84B</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$6.95</w:t>
            </w:r>
          </w:p>
        </w:tc>
        <w:tc>
          <w:tcPr>
            <w:tcW w:type="dxa" w:w="1440"/>
          </w:tcPr>
          <w:p>
            <w:r>
              <w:rPr>
                <w:rFonts w:ascii="Calibri" w:hAnsi="Calibri"/>
                <w:sz w:val="22"/>
              </w:rPr>
              <w:t>$6.43</w:t>
            </w:r>
          </w:p>
        </w:tc>
        <w:tc>
          <w:tcPr>
            <w:tcW w:type="dxa" w:w="1440"/>
          </w:tcPr>
          <w:p>
            <w:r>
              <w:rPr>
                <w:rFonts w:ascii="Calibri" w:hAnsi="Calibri"/>
                <w:b/>
                <w:color w:val="30A46C"/>
                <w:sz w:val="22"/>
              </w:rPr>
              <w:t>+8.1%</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$18.61B</w:t>
            </w:r>
          </w:p>
        </w:tc>
        <w:tc>
          <w:tcPr>
            <w:tcW w:type="dxa" w:w="1440"/>
          </w:tcPr>
          <w:p>
            <w:r>
              <w:rPr>
                <w:rFonts w:ascii="Calibri" w:hAnsi="Calibri"/>
                <w:sz w:val="22"/>
              </w:rPr>
              <w:t>$18.55B</w:t>
            </w:r>
          </w:p>
        </w:tc>
        <w:tc>
          <w:tcPr>
            <w:tcW w:type="dxa" w:w="1440"/>
          </w:tcPr>
          <w:p>
            <w:r>
              <w:rPr>
                <w:rFonts w:ascii="Calibri" w:hAnsi="Calibri"/>
                <w:b/>
                <w:color w:val="30A46C"/>
                <w:sz w:val="22"/>
              </w:rPr>
              <w:t>+0.3%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~$1.46 (adj. ~$6.52)</w:t>
            </w:r>
          </w:p>
        </w:tc>
        <w:tc>
          <w:tcPr>
            <w:tcW w:type="dxa" w:w="1440"/>
          </w:tcPr>
          <w:p>
            <w:r>
              <w:rPr>
                <w:rFonts w:ascii="Calibri" w:hAnsi="Calibri"/>
                <w:sz w:val="22"/>
              </w:rPr>
              <w:t>$6.52</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$18.16B</w:t>
            </w:r>
          </w:p>
        </w:tc>
        <w:tc>
          <w:tcPr>
            <w:tcW w:type="dxa" w:w="1440"/>
          </w:tcPr>
          <w:p>
            <w:r>
              <w:rPr>
                <w:rFonts w:ascii="Calibri" w:hAnsi="Calibri"/>
                <w:sz w:val="22"/>
              </w:rPr>
              <w:t>$18.59B</w:t>
            </w:r>
          </w:p>
        </w:tc>
        <w:tc>
          <w:tcPr>
            <w:tcW w:type="dxa" w:w="1440"/>
          </w:tcPr>
          <w:p>
            <w:r>
              <w:rPr>
                <w:rFonts w:ascii="Calibri" w:hAnsi="Calibri"/>
                <w:b/>
                <w:color w:val="E5484D"/>
                <w:sz w:val="22"/>
              </w:rPr>
              <w:t>−2.3%</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$7.28</w:t>
            </w:r>
          </w:p>
        </w:tc>
        <w:tc>
          <w:tcPr>
            <w:tcW w:type="dxa" w:w="1440"/>
          </w:tcPr>
          <w:p>
            <w:r>
              <w:rPr>
                <w:rFonts w:ascii="Calibri" w:hAnsi="Calibri"/>
                <w:sz w:val="22"/>
              </w:rPr>
              <w:t>$6.31</w:t>
            </w:r>
          </w:p>
        </w:tc>
        <w:tc>
          <w:tcPr>
            <w:tcW w:type="dxa" w:w="1440"/>
          </w:tcPr>
          <w:p>
            <w:r>
              <w:rPr>
                <w:rFonts w:ascii="Calibri" w:hAnsi="Calibri"/>
                <w:b/>
                <w:color w:val="30A46C"/>
                <w:sz w:val="22"/>
              </w:rPr>
              <w:t>+15.4%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$17.96B</w:t>
            </w:r>
          </w:p>
        </w:tc>
        <w:tc>
          <w:tcPr>
            <w:tcW w:type="dxa" w:w="1440"/>
          </w:tcPr>
          <w:p>
            <w:r>
              <w:rPr>
                <w:rFonts w:ascii="Calibri" w:hAnsi="Calibri"/>
                <w:sz w:val="22"/>
              </w:rPr>
              <w:t>$17.76B</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$7.71</w:t>
            </w:r>
          </w:p>
        </w:tc>
        <w:tc>
          <w:tcPr>
            <w:tcW w:type="dxa" w:w="1440"/>
          </w:tcPr>
          <w:p>
            <w:r>
              <w:rPr>
                <w:rFonts w:ascii="Calibri" w:hAnsi="Calibri"/>
                <w:sz w:val="22"/>
              </w:rPr>
              <w:t>$6.62</w:t>
            </w:r>
          </w:p>
        </w:tc>
        <w:tc>
          <w:tcPr>
            <w:tcW w:type="dxa" w:w="1440"/>
          </w:tcPr>
          <w:p>
            <w:r>
              <w:rPr>
                <w:rFonts w:ascii="Calibri" w:hAnsi="Calibri"/>
                <w:b/>
                <w:color w:val="30A46C"/>
                <w:sz w:val="22"/>
              </w:rPr>
              <w:t>+16.4%</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$18.62B</w:t>
            </w:r>
          </w:p>
        </w:tc>
        <w:tc>
          <w:tcPr>
            <w:tcW w:type="dxa" w:w="1440"/>
          </w:tcPr>
          <w:p>
            <w:r>
              <w:rPr>
                <w:rFonts w:ascii="Calibri" w:hAnsi="Calibri"/>
                <w:sz w:val="22"/>
              </w:rPr>
              <w:t>$18.86B</w:t>
            </w:r>
          </w:p>
        </w:tc>
        <w:tc>
          <w:tcPr>
            <w:tcW w:type="dxa" w:w="1440"/>
          </w:tcPr>
          <w:p>
            <w:r>
              <w:rPr>
                <w:rFonts w:ascii="Calibri" w:hAnsi="Calibri"/>
                <w:b/>
                <w:color w:val="E5484D"/>
                <w:sz w:val="22"/>
              </w:rPr>
              <w:t>−1.3%</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$6.84</w:t>
            </w:r>
          </w:p>
        </w:tc>
        <w:tc>
          <w:tcPr>
            <w:tcW w:type="dxa" w:w="1440"/>
          </w:tcPr>
          <w:p>
            <w:r>
              <w:rPr>
                <w:rFonts w:ascii="Calibri" w:hAnsi="Calibri"/>
                <w:sz w:val="22"/>
              </w:rPr>
              <w:t>$6.61</w:t>
            </w:r>
          </w:p>
        </w:tc>
        <w:tc>
          <w:tcPr>
            <w:tcW w:type="dxa" w:w="1440"/>
          </w:tcPr>
          <w:p>
            <w:r>
              <w:rPr>
                <w:rFonts w:ascii="Calibri" w:hAnsi="Calibri"/>
                <w:b/>
                <w:color w:val="30A46C"/>
                <w:sz w:val="22"/>
              </w:rPr>
              <w:t>+3.5%</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$17.10B</w:t>
            </w:r>
          </w:p>
        </w:tc>
        <w:tc>
          <w:tcPr>
            <w:tcW w:type="dxa" w:w="1440"/>
          </w:tcPr>
          <w:p>
            <w:r>
              <w:rPr>
                <w:rFonts w:ascii="Calibri" w:hAnsi="Calibri"/>
                <w:sz w:val="22"/>
              </w:rPr>
              <w:t>$17.38B</w:t>
            </w:r>
          </w:p>
        </w:tc>
        <w:tc>
          <w:tcPr>
            <w:tcW w:type="dxa" w:w="1440"/>
          </w:tcPr>
          <w:p>
            <w:r>
              <w:rPr>
                <w:rFonts w:ascii="Calibri" w:hAnsi="Calibri"/>
                <w:b/>
                <w:color w:val="E5484D"/>
                <w:sz w:val="22"/>
              </w:rPr>
              <w:t>−1.6%</w:t>
            </w:r>
          </w:p>
        </w:tc>
        <w:tc>
          <w:tcPr>
            <w:tcW w:type="dxa" w:w="1440"/>
          </w:tcPr>
          <w:p>
            <w:r>
              <w:rPr>
                <w:rFonts w:ascii="Calibri" w:hAnsi="Calibri"/>
                <w:sz w:val="22"/>
              </w:rPr>
              <w:t>Miss</w:t>
            </w:r>
          </w:p>
        </w:tc>
      </w:tr>
    </w:tbl>
    <w:p>
      <w:r>
        <w:rPr>
          <w:rFonts w:ascii="Calibri" w:hAnsi="Calibri"/>
          <w:b/>
          <w:color w:val="525866"/>
          <w:sz w:val="22"/>
        </w:rPr>
        <w:t xml:space="preserve">Source: Visible Alpha Consensus and Actuals Data. </w:t>
      </w:r>
      <w:r>
        <w:rPr>
          <w:rFonts w:ascii="Calibri" w:hAnsi="Calibri"/>
          <w:color w:val="525866"/>
          <w:sz w:val="22"/>
        </w:rPr>
        <w:t>Pattern: LMT has beaten operating EPS in 6 of the last 8 quarters, with the lone miss being Q1 2026 (impacted by non-recurring prior-year items and ERP disruption). Revenue beats are less consistent — LMT has missed net sales in 4 of the last 8 quarters — suggesting the Street tends to over-estimate near-term revenue while under-estimating EPS (mix/margin benefit). Q2 2026 consensus appears set at a level where a modest beat on EPS is more likely than not, but revenue is the tighter call.</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guidance is unchanged since January, but management's tone has shifted incrementally positive — </w:t>
      </w:r>
      <w:r>
        <w:rPr>
          <w:rFonts w:ascii="Calibri" w:hAnsi="Calibri"/>
          <w:b/>
          <w:color w:val="525866"/>
          <w:sz w:val="22"/>
        </w:rPr>
        <w:t>IRS CAMT ruling nudges FCF toward the upper end</w:t>
      </w:r>
      <w:r>
        <w:rPr>
          <w:rFonts w:ascii="Calibri" w:hAnsi="Calibri"/>
          <w:color w:val="525866"/>
          <w:sz w:val="22"/>
        </w:rPr>
        <w:t xml:space="preserve"> of the range, F-16 deliveries resumed, and classified program confidence is at a multi-year high.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Net Sales (FY 2026)</w:t>
            </w:r>
          </w:p>
        </w:tc>
        <w:tc>
          <w:tcPr>
            <w:tcW w:type="dxa" w:w="1728"/>
          </w:tcPr>
          <w:p>
            <w:r>
              <w:rPr>
                <w:rFonts w:ascii="Calibri" w:hAnsi="Calibri"/>
                <w:sz w:val="22"/>
              </w:rPr>
              <w:t>Mid-single-digit growth (implied ~$78–$80B)</w:t>
            </w:r>
          </w:p>
        </w:tc>
        <w:tc>
          <w:tcPr>
            <w:tcW w:type="dxa" w:w="1728"/>
          </w:tcPr>
          <w:p>
            <w:r>
              <w:rPr>
                <w:rFonts w:ascii="Calibri" w:hAnsi="Calibri"/>
                <w:sz w:val="22"/>
              </w:rPr>
              <w:t>—</w:t>
            </w:r>
          </w:p>
        </w:tc>
        <w:tc>
          <w:tcPr>
            <w:tcW w:type="dxa" w:w="1728"/>
          </w:tcPr>
          <w:p>
            <w:r>
              <w:rPr>
                <w:rFonts w:ascii="Calibri" w:hAnsi="Calibri"/>
                <w:sz w:val="22"/>
              </w:rPr>
              <w:t>$79.2B</w:t>
            </w:r>
          </w:p>
        </w:tc>
        <w:tc>
          <w:tcPr>
            <w:tcW w:type="dxa" w:w="1728"/>
          </w:tcPr>
          <w:p>
            <w:r>
              <w:rPr>
                <w:rFonts w:ascii="Calibri" w:hAnsi="Calibri"/>
                <w:sz w:val="22"/>
              </w:rPr>
              <w:t>Unchanged; consensus in-line with guidance midpoint</w:t>
            </w:r>
          </w:p>
        </w:tc>
      </w:tr>
      <w:tr>
        <w:tc>
          <w:tcPr>
            <w:tcW w:type="dxa" w:w="1728"/>
          </w:tcPr>
          <w:p>
            <w:r>
              <w:rPr>
                <w:rFonts w:ascii="Calibri" w:hAnsi="Calibri"/>
                <w:sz w:val="22"/>
              </w:rPr>
              <w:t>Segment Operating Profit (FY 2026)</w:t>
            </w:r>
          </w:p>
        </w:tc>
        <w:tc>
          <w:tcPr>
            <w:tcW w:type="dxa" w:w="1728"/>
          </w:tcPr>
          <w:p>
            <w:r>
              <w:rPr>
                <w:rFonts w:ascii="Calibri" w:hAnsi="Calibri"/>
                <w:sz w:val="22"/>
              </w:rPr>
              <w:t>$8.4B – $8.7B</w:t>
            </w:r>
          </w:p>
        </w:tc>
        <w:tc>
          <w:tcPr>
            <w:tcW w:type="dxa" w:w="1728"/>
          </w:tcPr>
          <w:p>
            <w:r>
              <w:rPr>
                <w:rFonts w:ascii="Calibri" w:hAnsi="Calibri"/>
                <w:sz w:val="22"/>
              </w:rPr>
              <w:t>—</w:t>
            </w:r>
          </w:p>
        </w:tc>
        <w:tc>
          <w:tcPr>
            <w:tcW w:type="dxa" w:w="1728"/>
          </w:tcPr>
          <w:p>
            <w:r>
              <w:rPr>
                <w:rFonts w:ascii="Calibri" w:hAnsi="Calibri"/>
                <w:sz w:val="22"/>
              </w:rPr>
              <w:t>~$8.55B (implied)</w:t>
            </w:r>
          </w:p>
        </w:tc>
        <w:tc>
          <w:tcPr>
            <w:tcW w:type="dxa" w:w="1728"/>
          </w:tcPr>
          <w:p>
            <w:r>
              <w:rPr>
                <w:rFonts w:ascii="Calibri" w:hAnsi="Calibri"/>
                <w:sz w:val="22"/>
              </w:rPr>
              <w:t>Unchanged; consensus at midpoint</w:t>
            </w:r>
          </w:p>
        </w:tc>
      </w:tr>
      <w:tr>
        <w:tc>
          <w:tcPr>
            <w:tcW w:type="dxa" w:w="1728"/>
          </w:tcPr>
          <w:p>
            <w:r>
              <w:rPr>
                <w:rFonts w:ascii="Calibri" w:hAnsi="Calibri"/>
                <w:sz w:val="22"/>
              </w:rPr>
              <w:t>Free Cash Flow (FY 2026)</w:t>
            </w:r>
          </w:p>
        </w:tc>
        <w:tc>
          <w:tcPr>
            <w:tcW w:type="dxa" w:w="1728"/>
          </w:tcPr>
          <w:p>
            <w:r>
              <w:rPr>
                <w:rFonts w:ascii="Calibri" w:hAnsi="Calibri"/>
                <w:sz w:val="22"/>
              </w:rPr>
              <w:t>$6.5B – $6.8B</w:t>
            </w:r>
          </w:p>
        </w:tc>
        <w:tc>
          <w:tcPr>
            <w:tcW w:type="dxa" w:w="1728"/>
          </w:tcPr>
          <w:p>
            <w:r>
              <w:rPr>
                <w:rFonts w:ascii="Calibri" w:hAnsi="Calibri"/>
                <w:sz w:val="22"/>
              </w:rPr>
              <w:t>—</w:t>
            </w:r>
          </w:p>
        </w:tc>
        <w:tc>
          <w:tcPr>
            <w:tcW w:type="dxa" w:w="1728"/>
          </w:tcPr>
          <w:p>
            <w:r>
              <w:rPr>
                <w:rFonts w:ascii="Calibri" w:hAnsi="Calibri"/>
                <w:sz w:val="22"/>
              </w:rPr>
              <w:t>$6.30B</w:t>
            </w:r>
          </w:p>
        </w:tc>
        <w:tc>
          <w:tcPr>
            <w:tcW w:type="dxa" w:w="1728"/>
          </w:tcPr>
          <w:p>
            <w:r>
              <w:rPr>
                <w:rFonts w:ascii="Calibri" w:hAnsi="Calibri"/>
                <w:sz w:val="22"/>
              </w:rPr>
              <w:t>↑ Tone shift: IRS CAMT ruling (Q1 call) strengthens confidence in upper end ($6.8B); consensus still ~5% below midpoint, reflecting classified program cash burn skepticism</w:t>
            </w:r>
          </w:p>
        </w:tc>
      </w:tr>
      <w:tr>
        <w:tc>
          <w:tcPr>
            <w:tcW w:type="dxa" w:w="1728"/>
          </w:tcPr>
          <w:p>
            <w:r>
              <w:rPr>
                <w:rFonts w:ascii="Calibri" w:hAnsi="Calibri"/>
                <w:sz w:val="22"/>
              </w:rPr>
              <w:t>CapEx (FY 2026)</w:t>
            </w:r>
          </w:p>
        </w:tc>
        <w:tc>
          <w:tcPr>
            <w:tcW w:type="dxa" w:w="1728"/>
          </w:tcPr>
          <w:p>
            <w:r>
              <w:rPr>
                <w:rFonts w:ascii="Calibri" w:hAnsi="Calibri"/>
                <w:sz w:val="22"/>
              </w:rPr>
              <w:t>$2.5B – $2.8B</w:t>
            </w:r>
          </w:p>
        </w:tc>
        <w:tc>
          <w:tcPr>
            <w:tcW w:type="dxa" w:w="1728"/>
          </w:tcPr>
          <w:p>
            <w:r>
              <w:rPr>
                <w:rFonts w:ascii="Calibri" w:hAnsi="Calibri"/>
                <w:sz w:val="22"/>
              </w:rPr>
              <w:t>—</w:t>
            </w:r>
          </w:p>
        </w:tc>
        <w:tc>
          <w:tcPr>
            <w:tcW w:type="dxa" w:w="1728"/>
          </w:tcPr>
          <w:p>
            <w:r>
              <w:rPr>
                <w:rFonts w:ascii="Calibri" w:hAnsi="Calibri"/>
                <w:sz w:val="22"/>
              </w:rPr>
              <w:t>~$2.65B (implied)</w:t>
            </w:r>
          </w:p>
        </w:tc>
        <w:tc>
          <w:tcPr>
            <w:tcW w:type="dxa" w:w="1728"/>
          </w:tcPr>
          <w:p>
            <w:r>
              <w:rPr>
                <w:rFonts w:ascii="Calibri" w:hAnsi="Calibri"/>
                <w:sz w:val="22"/>
              </w:rPr>
              <w:t>Unchanged; elevated vs. prior years to support PAC-3/THAAD ramps; ~50% covered by advance payment structures</w:t>
            </w:r>
          </w:p>
        </w:tc>
      </w:tr>
      <w:tr>
        <w:tc>
          <w:tcPr>
            <w:tcW w:type="dxa" w:w="1728"/>
          </w:tcPr>
          <w:p>
            <w:r>
              <w:rPr>
                <w:rFonts w:ascii="Calibri" w:hAnsi="Calibri"/>
                <w:sz w:val="22"/>
              </w:rPr>
              <w:t>F-16 Deliveries</w:t>
            </w:r>
          </w:p>
        </w:tc>
        <w:tc>
          <w:tcPr>
            <w:tcW w:type="dxa" w:w="1728"/>
          </w:tcPr>
          <w:p>
            <w:r>
              <w:rPr>
                <w:rFonts w:ascii="Calibri" w:hAnsi="Calibri"/>
                <w:sz w:val="22"/>
              </w:rPr>
              <w:t>Resuming "this week" (Apr 23 call); on track for full-year targets</w:t>
            </w:r>
          </w:p>
        </w:tc>
        <w:tc>
          <w:tcPr>
            <w:tcW w:type="dxa" w:w="1728"/>
          </w:tcPr>
          <w:p>
            <w:r>
              <w:rPr>
                <w:rFonts w:ascii="Calibri" w:hAnsi="Calibri"/>
                <w:sz w:val="22"/>
              </w:rPr>
              <w:t>—</w:t>
            </w:r>
          </w:p>
        </w:tc>
        <w:tc>
          <w:tcPr>
            <w:tcW w:type="dxa" w:w="1728"/>
          </w:tcPr>
          <w:p>
            <w:r>
              <w:rPr>
                <w:rFonts w:ascii="Calibri" w:hAnsi="Calibri"/>
                <w:sz w:val="22"/>
              </w:rPr>
              <w:t>N/A (not tracked separately)</w:t>
            </w:r>
          </w:p>
        </w:tc>
        <w:tc>
          <w:tcPr>
            <w:tcW w:type="dxa" w:w="1728"/>
          </w:tcPr>
          <w:p>
            <w:r>
              <w:rPr>
                <w:rFonts w:ascii="Calibri" w:hAnsi="Calibri"/>
                <w:sz w:val="22"/>
              </w:rPr>
              <w:t>↑ Positive: flight test issue resolved; deliveries resumed; Q2 should capture catch-up volume</w:t>
            </w:r>
          </w:p>
        </w:tc>
      </w:tr>
      <w:tr>
        <w:tc>
          <w:tcPr>
            <w:tcW w:type="dxa" w:w="1728"/>
          </w:tcPr>
          <w:p>
            <w:r>
              <w:rPr>
                <w:rFonts w:ascii="Calibri" w:hAnsi="Calibri"/>
                <w:sz w:val="22"/>
              </w:rPr>
              <w:t>Classified Programs (Aero &amp; MFC)</w:t>
            </w:r>
          </w:p>
        </w:tc>
        <w:tc>
          <w:tcPr>
            <w:tcW w:type="dxa" w:w="1728"/>
          </w:tcPr>
          <w:p>
            <w:r>
              <w:rPr>
                <w:rFonts w:ascii="Calibri" w:hAnsi="Calibri"/>
                <w:sz w:val="22"/>
              </w:rPr>
              <w:t>No charges in Q1 2026; CEO: "feel better than I have in 6 years"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Confidence highest in years; no estimate changes since Q4 2024 charge; cash burn $500–$700M/year for 2026–2027 then declining</w:t>
            </w:r>
          </w:p>
        </w:tc>
      </w:tr>
      <w:tr>
        <w:tc>
          <w:tcPr>
            <w:tcW w:type="dxa" w:w="1728"/>
          </w:tcPr>
          <w:p>
            <w:r>
              <w:rPr>
                <w:rFonts w:ascii="Calibri" w:hAnsi="Calibri"/>
                <w:sz w:val="22"/>
              </w:rPr>
              <w:t>PAC-3 Production Ramp</w:t>
            </w:r>
          </w:p>
        </w:tc>
        <w:tc>
          <w:tcPr>
            <w:tcW w:type="dxa" w:w="1728"/>
          </w:tcPr>
          <w:p>
            <w:r>
              <w:rPr>
                <w:rFonts w:ascii="Calibri" w:hAnsi="Calibri"/>
                <w:sz w:val="22"/>
              </w:rPr>
              <w:t>$4.8B UCA signed April 2026; ramp to 2,000 missiles/year (from 650) over 3–4 years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NOC qualified as second-source SRM supplier (July 2026); $2B framework agreement with DoW and LMT signed</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higher since the Q1 print — Q2 EPS up ~$0.19 (+2.7%) and FY EPS up ~$0.25 (+0.8%) — suggesting the Street is gradually building in MFC ramp confidence. </w:t>
      </w:r>
      <w:r>
        <w:rPr>
          <w:rFonts w:ascii="Calibri" w:hAnsi="Calibri"/>
          <w:b/>
          <w:color w:val="525866"/>
          <w:sz w:val="22"/>
        </w:rPr>
        <w:t>Revenue estimates are essentially flat</w:t>
      </w:r>
      <w:r>
        <w:rPr>
          <w:rFonts w:ascii="Calibri" w:hAnsi="Calibri"/>
          <w:color w:val="525866"/>
          <w:sz w:val="22"/>
        </w:rPr>
        <w:t>, consistent with guidance, while FCF consensus remains ~5% below the guidance midpoint, representing the key gap to close.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Apr 28, 2026 (+5 Days Post Q1)</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23)</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Op. EPS — Q2 2026</w:t>
            </w:r>
          </w:p>
        </w:tc>
        <w:tc>
          <w:tcPr>
            <w:tcW w:type="dxa" w:w="1080"/>
          </w:tcPr>
          <w:p>
            <w:r>
              <w:rPr>
                <w:rFonts w:ascii="Calibri" w:hAnsi="Calibri"/>
                <w:sz w:val="22"/>
              </w:rPr>
              <w:t>$7.12</w:t>
            </w:r>
          </w:p>
        </w:tc>
        <w:tc>
          <w:tcPr>
            <w:tcW w:type="dxa" w:w="1080"/>
          </w:tcPr>
          <w:p>
            <w:r>
              <w:rPr>
                <w:rFonts w:ascii="Calibri" w:hAnsi="Calibri"/>
                <w:sz w:val="22"/>
              </w:rPr>
              <w:t>$7.31</w:t>
            </w:r>
          </w:p>
        </w:tc>
        <w:tc>
          <w:tcPr>
            <w:tcW w:type="dxa" w:w="1080"/>
          </w:tcPr>
          <w:p>
            <w:r>
              <w:rPr>
                <w:rFonts w:ascii="Calibri" w:hAnsi="Calibri"/>
                <w:b/>
                <w:color w:val="30A46C"/>
                <w:sz w:val="22"/>
              </w:rPr>
              <w:t>+2.7%</w:t>
            </w:r>
          </w:p>
        </w:tc>
        <w:tc>
          <w:tcPr>
            <w:tcW w:type="dxa" w:w="1080"/>
          </w:tcPr>
          <w:p>
            <w:r>
              <w:rPr>
                <w:rFonts w:ascii="Calibri" w:hAnsi="Calibri"/>
                <w:sz w:val="22"/>
              </w:rPr>
              <w:t>No specific Q2 guide</w:t>
            </w:r>
          </w:p>
        </w:tc>
        <w:tc>
          <w:tcPr>
            <w:tcW w:type="dxa" w:w="1080"/>
          </w:tcPr>
          <w:p>
            <w:r>
              <w:rPr>
                <w:rFonts w:ascii="Calibri" w:hAnsi="Calibri"/>
                <w:sz w:val="22"/>
              </w:rPr>
              <w:t>No specific Q2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 EPS — FY 2026</w:t>
            </w:r>
          </w:p>
        </w:tc>
        <w:tc>
          <w:tcPr>
            <w:tcW w:type="dxa" w:w="1080"/>
          </w:tcPr>
          <w:p>
            <w:r>
              <w:rPr>
                <w:rFonts w:ascii="Calibri" w:hAnsi="Calibri"/>
                <w:sz w:val="22"/>
              </w:rPr>
              <w:t>$29.79</w:t>
            </w:r>
          </w:p>
        </w:tc>
        <w:tc>
          <w:tcPr>
            <w:tcW w:type="dxa" w:w="1080"/>
          </w:tcPr>
          <w:p>
            <w:r>
              <w:rPr>
                <w:rFonts w:ascii="Calibri" w:hAnsi="Calibri"/>
                <w:sz w:val="22"/>
              </w:rPr>
              <w:t>$30.04</w:t>
            </w:r>
          </w:p>
        </w:tc>
        <w:tc>
          <w:tcPr>
            <w:tcW w:type="dxa" w:w="1080"/>
          </w:tcPr>
          <w:p>
            <w:r>
              <w:rPr>
                <w:rFonts w:ascii="Calibri" w:hAnsi="Calibri"/>
                <w:b/>
                <w:color w:val="30A46C"/>
                <w:sz w:val="22"/>
              </w:rPr>
              <w:t>+0.8%</w:t>
            </w:r>
          </w:p>
        </w:tc>
        <w:tc>
          <w:tcPr>
            <w:tcW w:type="dxa" w:w="1080"/>
          </w:tcPr>
          <w:p>
            <w:r>
              <w:rPr>
                <w:rFonts w:ascii="Calibri" w:hAnsi="Calibri"/>
                <w:sz w:val="22"/>
              </w:rPr>
              <w:t>Implied ~$29.5–$30.5 (from seg. profit guide)</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~In-line</w:t>
            </w:r>
          </w:p>
        </w:tc>
      </w:tr>
      <w:tr>
        <w:tc>
          <w:tcPr>
            <w:tcW w:type="dxa" w:w="1080"/>
          </w:tcPr>
          <w:p>
            <w:r>
              <w:rPr>
                <w:rFonts w:ascii="Calibri" w:hAnsi="Calibri"/>
                <w:sz w:val="22"/>
              </w:rPr>
              <w:t>Net Sales — Q2 2026</w:t>
            </w:r>
          </w:p>
        </w:tc>
        <w:tc>
          <w:tcPr>
            <w:tcW w:type="dxa" w:w="1080"/>
          </w:tcPr>
          <w:p>
            <w:r>
              <w:rPr>
                <w:rFonts w:ascii="Calibri" w:hAnsi="Calibri"/>
                <w:sz w:val="22"/>
              </w:rPr>
              <w:t>$19.31B</w:t>
            </w:r>
          </w:p>
        </w:tc>
        <w:tc>
          <w:tcPr>
            <w:tcW w:type="dxa" w:w="1080"/>
          </w:tcPr>
          <w:p>
            <w:r>
              <w:rPr>
                <w:rFonts w:ascii="Calibri" w:hAnsi="Calibri"/>
                <w:sz w:val="22"/>
              </w:rPr>
              <w:t>$19.33B</w:t>
            </w:r>
          </w:p>
        </w:tc>
        <w:tc>
          <w:tcPr>
            <w:tcW w:type="dxa" w:w="1080"/>
          </w:tcPr>
          <w:p>
            <w:r>
              <w:rPr>
                <w:rFonts w:ascii="Calibri" w:hAnsi="Calibri"/>
                <w:sz w:val="22"/>
              </w:rPr>
              <w:t>+0.1%</w:t>
            </w:r>
          </w:p>
        </w:tc>
        <w:tc>
          <w:tcPr>
            <w:tcW w:type="dxa" w:w="1080"/>
          </w:tcPr>
          <w:p>
            <w:r>
              <w:rPr>
                <w:rFonts w:ascii="Calibri" w:hAnsi="Calibri"/>
                <w:sz w:val="22"/>
              </w:rPr>
              <w:t>No specific Q2 guide</w:t>
            </w:r>
          </w:p>
        </w:tc>
        <w:tc>
          <w:tcPr>
            <w:tcW w:type="dxa" w:w="1080"/>
          </w:tcPr>
          <w:p>
            <w:r>
              <w:rPr>
                <w:rFonts w:ascii="Calibri" w:hAnsi="Calibri"/>
                <w:sz w:val="22"/>
              </w:rPr>
              <w:t>No specific Q2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 2026</w:t>
            </w:r>
          </w:p>
        </w:tc>
        <w:tc>
          <w:tcPr>
            <w:tcW w:type="dxa" w:w="1080"/>
          </w:tcPr>
          <w:p>
            <w:r>
              <w:rPr>
                <w:rFonts w:ascii="Calibri" w:hAnsi="Calibri"/>
                <w:sz w:val="22"/>
              </w:rPr>
              <w:t>$79.03B</w:t>
            </w:r>
          </w:p>
        </w:tc>
        <w:tc>
          <w:tcPr>
            <w:tcW w:type="dxa" w:w="1080"/>
          </w:tcPr>
          <w:p>
            <w:r>
              <w:rPr>
                <w:rFonts w:ascii="Calibri" w:hAnsi="Calibri"/>
                <w:sz w:val="22"/>
              </w:rPr>
              <w:t>$79.16B</w:t>
            </w:r>
          </w:p>
        </w:tc>
        <w:tc>
          <w:tcPr>
            <w:tcW w:type="dxa" w:w="1080"/>
          </w:tcPr>
          <w:p>
            <w:r>
              <w:rPr>
                <w:rFonts w:ascii="Calibri" w:hAnsi="Calibri"/>
                <w:sz w:val="22"/>
              </w:rPr>
              <w:t>+0.2%</w:t>
            </w:r>
          </w:p>
        </w:tc>
        <w:tc>
          <w:tcPr>
            <w:tcW w:type="dxa" w:w="1080"/>
          </w:tcPr>
          <w:p>
            <w:r>
              <w:rPr>
                <w:rFonts w:ascii="Calibri" w:hAnsi="Calibri"/>
                <w:sz w:val="22"/>
              </w:rPr>
              <w:t>Mid-single-digit growth (~$78–$80B)</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~In-line</w:t>
            </w:r>
          </w:p>
        </w:tc>
      </w:tr>
      <w:tr>
        <w:tc>
          <w:tcPr>
            <w:tcW w:type="dxa" w:w="1080"/>
          </w:tcPr>
          <w:p>
            <w:r>
              <w:rPr>
                <w:rFonts w:ascii="Calibri" w:hAnsi="Calibri"/>
                <w:sz w:val="22"/>
              </w:rPr>
              <w:t>Free Cash Flow — Q2 2026</w:t>
            </w:r>
          </w:p>
        </w:tc>
        <w:tc>
          <w:tcPr>
            <w:tcW w:type="dxa" w:w="1080"/>
          </w:tcPr>
          <w:p>
            <w:r>
              <w:rPr>
                <w:rFonts w:ascii="Calibri" w:hAnsi="Calibri"/>
                <w:sz w:val="22"/>
              </w:rPr>
              <w:t>$1.27B</w:t>
            </w:r>
          </w:p>
        </w:tc>
        <w:tc>
          <w:tcPr>
            <w:tcW w:type="dxa" w:w="1080"/>
          </w:tcPr>
          <w:p>
            <w:r>
              <w:rPr>
                <w:rFonts w:ascii="Calibri" w:hAnsi="Calibri"/>
                <w:sz w:val="22"/>
              </w:rPr>
              <w:t>$0.86B</w:t>
            </w:r>
          </w:p>
        </w:tc>
        <w:tc>
          <w:tcPr>
            <w:tcW w:type="dxa" w:w="1080"/>
          </w:tcPr>
          <w:p>
            <w:r>
              <w:rPr>
                <w:rFonts w:ascii="Calibri" w:hAnsi="Calibri"/>
                <w:b/>
                <w:color w:val="E5484D"/>
                <w:sz w:val="22"/>
              </w:rPr>
              <w:t>−32.3%</w:t>
            </w:r>
          </w:p>
        </w:tc>
        <w:tc>
          <w:tcPr>
            <w:tcW w:type="dxa" w:w="1080"/>
          </w:tcPr>
          <w:p>
            <w:r>
              <w:rPr>
                <w:rFonts w:ascii="Calibri" w:hAnsi="Calibri"/>
                <w:sz w:val="22"/>
              </w:rPr>
              <w:t>ERP resolution expected; positive FCF in Q2</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Below mgmt. tone</w:t>
            </w:r>
          </w:p>
        </w:tc>
      </w:tr>
      <w:tr>
        <w:tc>
          <w:tcPr>
            <w:tcW w:type="dxa" w:w="1080"/>
          </w:tcPr>
          <w:p>
            <w:r>
              <w:rPr>
                <w:rFonts w:ascii="Calibri" w:hAnsi="Calibri"/>
                <w:sz w:val="22"/>
              </w:rPr>
              <w:t>Free Cash Flow — FY 2026</w:t>
            </w:r>
          </w:p>
        </w:tc>
        <w:tc>
          <w:tcPr>
            <w:tcW w:type="dxa" w:w="1080"/>
          </w:tcPr>
          <w:p>
            <w:r>
              <w:rPr>
                <w:rFonts w:ascii="Calibri" w:hAnsi="Calibri"/>
                <w:sz w:val="22"/>
              </w:rPr>
              <w:t>$6.67B</w:t>
            </w:r>
          </w:p>
        </w:tc>
        <w:tc>
          <w:tcPr>
            <w:tcW w:type="dxa" w:w="1080"/>
          </w:tcPr>
          <w:p>
            <w:r>
              <w:rPr>
                <w:rFonts w:ascii="Calibri" w:hAnsi="Calibri"/>
                <w:sz w:val="22"/>
              </w:rPr>
              <w:t>$6.30B</w:t>
            </w:r>
          </w:p>
        </w:tc>
        <w:tc>
          <w:tcPr>
            <w:tcW w:type="dxa" w:w="1080"/>
          </w:tcPr>
          <w:p>
            <w:r>
              <w:rPr>
                <w:rFonts w:ascii="Calibri" w:hAnsi="Calibri"/>
                <w:b/>
                <w:color w:val="E5484D"/>
                <w:sz w:val="22"/>
              </w:rPr>
              <w:t>−5.6%</w:t>
            </w:r>
          </w:p>
        </w:tc>
        <w:tc>
          <w:tcPr>
            <w:tcW w:type="dxa" w:w="1080"/>
          </w:tcPr>
          <w:p>
            <w:r>
              <w:rPr>
                <w:rFonts w:ascii="Calibri" w:hAnsi="Calibri"/>
                <w:sz w:val="22"/>
              </w:rPr>
              <w:t>$6.5B – $6.8B</w:t>
            </w:r>
          </w:p>
        </w:tc>
        <w:tc>
          <w:tcPr>
            <w:tcW w:type="dxa" w:w="1080"/>
          </w:tcPr>
          <w:p>
            <w:r>
              <w:rPr>
                <w:rFonts w:ascii="Calibri" w:hAnsi="Calibri"/>
                <w:sz w:val="22"/>
              </w:rPr>
              <w:t>Unchanged; upper-end confidence from IRS CAMT</w:t>
            </w:r>
          </w:p>
        </w:tc>
        <w:tc>
          <w:tcPr>
            <w:tcW w:type="dxa" w:w="1080"/>
          </w:tcPr>
          <w:p>
            <w:r>
              <w:rPr>
                <w:rFonts w:ascii="Calibri" w:hAnsi="Calibri"/>
                <w:sz w:val="22"/>
              </w:rPr>
              <w:t>Unchanged</w:t>
            </w:r>
          </w:p>
        </w:tc>
        <w:tc>
          <w:tcPr>
            <w:tcW w:type="dxa" w:w="1080"/>
          </w:tcPr>
          <w:p>
            <w:r>
              <w:rPr>
                <w:rFonts w:ascii="Calibri" w:hAnsi="Calibri"/>
                <w:b/>
                <w:color w:val="E5484D"/>
                <w:sz w:val="22"/>
              </w:rPr>
              <w:t>−5.3% vs. midpoint</w:t>
            </w:r>
          </w:p>
        </w:tc>
      </w:tr>
    </w:tbl>
    <w:p>
      <w:r>
        <w:rPr>
          <w:rFonts w:ascii="Calibri" w:hAnsi="Calibri"/>
          <w:b/>
          <w:color w:val="525866"/>
          <w:sz w:val="22"/>
        </w:rPr>
        <w:t xml:space="preserve">Source: Visible Alpha Consensus and Actuals Data. </w:t>
      </w:r>
      <w:r>
        <w:rPr>
          <w:rFonts w:ascii="Calibri" w:hAnsi="Calibri"/>
          <w:color w:val="525866"/>
          <w:sz w:val="22"/>
        </w:rPr>
        <w:t>The notable divergence is in Q2 FCF: the post-Q1 baseline consensus was $1.27B, but current consensus has drifted down to $0.86B — the Street is not fully pricing in the ERP resolution management promised. A Q2 FCF print above $1B would be a meaningful positive surprise and would likely drive upward revision to the FY FCF consensus, which currently sits ~$350M below the guidance midpoint.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LMT has underperformed both ITA and SPY since the Q1 miss — down ~3% vs. ITA roughly flat and SPY +5% — driven almost entirely by </w:t>
      </w:r>
      <w:r>
        <w:rPr>
          <w:rFonts w:ascii="Calibri" w:hAnsi="Calibri"/>
          <w:b/>
          <w:color w:val="525866"/>
          <w:sz w:val="22"/>
        </w:rPr>
        <w:t>multiple compression</w:t>
      </w:r>
      <w:r>
        <w:rPr>
          <w:rFonts w:ascii="Calibri" w:hAnsi="Calibri"/>
          <w:color w:val="525866"/>
          <w:sz w:val="22"/>
        </w:rPr>
        <w:t xml:space="preserve"> (EV/EBITDA contracted from ~13.2x to ~11.7x over 3 months) as the Q1 miss and FCF shortfall reset sentiment. The stock is not pricing in a beat, creating a favorable asymmetric setup.</w:t>
      </w:r>
    </w:p>
    <w:p>
      <w:r>
        <w:rPr>
          <w:rFonts w:ascii="Calibri" w:hAnsi="Calibri"/>
          <w:color w:val="525866"/>
          <w:sz w:val="22"/>
        </w:rPr>
        <w:t>The chart below shows LMT, ITA (iShares U.S. Aerospace &amp; Defense ETF), and SPY (S&amp;P 500) indexed to 100 at the Q1 2026 earnings date (April 23, 2026). Key events are marked with vertical dashed lines.</w:t>
      </w:r>
    </w:p>
    <w:p>
      <w:r>
        <w:rPr>
          <w:i/>
        </w:rPr>
        <w:t>[Image not found: gs://lum-production-user-data/conversations/conv_01Wr5Wr5Wr5Wr5Wr5Wr5Wr/plotly_charts/lmt_stock_chart.json]</w:t>
      </w:r>
    </w:p>
    <w:p>
      <w:pPr>
        <w:jc w:val="center"/>
      </w:pPr>
      <w:r>
        <w:rPr>
          <w:i/>
          <w:color w:val="666666"/>
          <w:sz w:val="18"/>
        </w:rPr>
        <w:t>LMT vs. ITA vs. SPY — Indexed to 100 at Q1 2026 Earnings (April 23, 2026). LMT: dark navy solid; ITA: mid-grey dashed; SPY: light grey dashed. Key events: (1) Q1 2026 Earnings Miss — Apr 23; (2) PAC-3 $4.8B UCA Signed — Apr 23; (3) Bernstein Conference (CEO/CFO) — May 27; (4) Iran Ceasefire Collapse / Renewed Strikes — Jul 8–14; (5) NOC Q2 Beat &amp; Guidance Raise — Jul 21. Source: Yahoo Finance / Stock Price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LMT (Indexed)</w:t>
            </w:r>
          </w:p>
        </w:tc>
        <w:tc>
          <w:tcPr>
            <w:tcW w:type="dxa" w:w="1728"/>
            <w:shd w:val="clear" w:color="auto" w:fill="3B4259"/>
          </w:tcPr>
          <w:p>
            <w:r>
              <w:rPr>
                <w:rFonts w:ascii="Calibri" w:hAnsi="Calibri"/>
                <w:b/>
                <w:color w:val="FFFFFF"/>
                <w:sz w:val="22"/>
              </w:rPr>
              <w:t>ITA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23, 2026</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(Miss); PAC-3 $4.8B UCA</w:t>
            </w:r>
          </w:p>
        </w:tc>
      </w:tr>
      <w:tr>
        <w:tc>
          <w:tcPr>
            <w:tcW w:type="dxa" w:w="1728"/>
          </w:tcPr>
          <w:p>
            <w:r>
              <w:rPr>
                <w:rFonts w:ascii="Calibri" w:hAnsi="Calibri"/>
                <w:sz w:val="22"/>
              </w:rPr>
              <w:t>Apr 30, 2026</w:t>
            </w:r>
          </w:p>
        </w:tc>
        <w:tc>
          <w:tcPr>
            <w:tcW w:type="dxa" w:w="1728"/>
          </w:tcPr>
          <w:p>
            <w:r>
              <w:rPr>
                <w:rFonts w:ascii="Calibri" w:hAnsi="Calibri"/>
                <w:sz w:val="22"/>
              </w:rPr>
              <w:t>97.8</w:t>
            </w:r>
          </w:p>
        </w:tc>
        <w:tc>
          <w:tcPr>
            <w:tcW w:type="dxa" w:w="1728"/>
          </w:tcPr>
          <w:p>
            <w:r>
              <w:rPr>
                <w:rFonts w:ascii="Calibri" w:hAnsi="Calibri"/>
                <w:sz w:val="22"/>
              </w:rPr>
              <w:t>99.7</w:t>
            </w:r>
          </w:p>
        </w:tc>
        <w:tc>
          <w:tcPr>
            <w:tcW w:type="dxa" w:w="1728"/>
          </w:tcPr>
          <w:p>
            <w:r>
              <w:rPr>
                <w:rFonts w:ascii="Calibri" w:hAnsi="Calibri"/>
                <w:sz w:val="22"/>
              </w:rPr>
              <w:t>101.4</w:t>
            </w:r>
          </w:p>
        </w:tc>
        <w:tc>
          <w:tcPr>
            <w:tcW w:type="dxa" w:w="1728"/>
          </w:tcPr>
          <w:p>
            <w:r>
              <w:rPr>
                <w:rFonts w:ascii="Calibri" w:hAnsi="Calibri"/>
                <w:sz w:val="22"/>
              </w:rPr>
              <w:t>—</w:t>
            </w:r>
          </w:p>
        </w:tc>
      </w:tr>
      <w:tr>
        <w:tc>
          <w:tcPr>
            <w:tcW w:type="dxa" w:w="1728"/>
          </w:tcPr>
          <w:p>
            <w:r>
              <w:rPr>
                <w:rFonts w:ascii="Calibri" w:hAnsi="Calibri"/>
                <w:sz w:val="22"/>
              </w:rPr>
              <w:t>May 27, 2026</w:t>
            </w:r>
          </w:p>
        </w:tc>
        <w:tc>
          <w:tcPr>
            <w:tcW w:type="dxa" w:w="1728"/>
          </w:tcPr>
          <w:p>
            <w:r>
              <w:rPr>
                <w:rFonts w:ascii="Calibri" w:hAnsi="Calibri"/>
                <w:sz w:val="22"/>
              </w:rPr>
              <w:t>100.3</w:t>
            </w:r>
          </w:p>
        </w:tc>
        <w:tc>
          <w:tcPr>
            <w:tcW w:type="dxa" w:w="1728"/>
          </w:tcPr>
          <w:p>
            <w:r>
              <w:rPr>
                <w:rFonts w:ascii="Calibri" w:hAnsi="Calibri"/>
                <w:sz w:val="22"/>
              </w:rPr>
              <w:t>105.2</w:t>
            </w:r>
          </w:p>
        </w:tc>
        <w:tc>
          <w:tcPr>
            <w:tcW w:type="dxa" w:w="1728"/>
          </w:tcPr>
          <w:p>
            <w:r>
              <w:rPr>
                <w:rFonts w:ascii="Calibri" w:hAnsi="Calibri"/>
                <w:sz w:val="22"/>
              </w:rPr>
              <w:t>106.0</w:t>
            </w:r>
          </w:p>
        </w:tc>
        <w:tc>
          <w:tcPr>
            <w:tcW w:type="dxa" w:w="1728"/>
          </w:tcPr>
          <w:p>
            <w:r>
              <w:rPr>
                <w:rFonts w:ascii="Calibri" w:hAnsi="Calibri"/>
                <w:sz w:val="22"/>
              </w:rPr>
              <w:t>Bernstein Conference (CEO/CFO)</w:t>
            </w:r>
          </w:p>
        </w:tc>
      </w:tr>
      <w:tr>
        <w:tc>
          <w:tcPr>
            <w:tcW w:type="dxa" w:w="1728"/>
          </w:tcPr>
          <w:p>
            <w:r>
              <w:rPr>
                <w:rFonts w:ascii="Calibri" w:hAnsi="Calibri"/>
                <w:sz w:val="22"/>
              </w:rPr>
              <w:t>Jun 11, 2026</w:t>
            </w:r>
          </w:p>
        </w:tc>
        <w:tc>
          <w:tcPr>
            <w:tcW w:type="dxa" w:w="1728"/>
          </w:tcPr>
          <w:p>
            <w:r>
              <w:rPr>
                <w:rFonts w:ascii="Calibri" w:hAnsi="Calibri"/>
                <w:sz w:val="22"/>
              </w:rPr>
              <w:t>103.6</w:t>
            </w:r>
          </w:p>
        </w:tc>
        <w:tc>
          <w:tcPr>
            <w:tcW w:type="dxa" w:w="1728"/>
          </w:tcPr>
          <w:p>
            <w:r>
              <w:rPr>
                <w:rFonts w:ascii="Calibri" w:hAnsi="Calibri"/>
                <w:sz w:val="22"/>
              </w:rPr>
              <w:t>107.7</w:t>
            </w:r>
          </w:p>
        </w:tc>
        <w:tc>
          <w:tcPr>
            <w:tcW w:type="dxa" w:w="1728"/>
          </w:tcPr>
          <w:p>
            <w:r>
              <w:rPr>
                <w:rFonts w:ascii="Calibri" w:hAnsi="Calibri"/>
                <w:sz w:val="22"/>
              </w:rPr>
              <w:t>104.1</w:t>
            </w:r>
          </w:p>
        </w:tc>
        <w:tc>
          <w:tcPr>
            <w:tcW w:type="dxa" w:w="1728"/>
          </w:tcPr>
          <w:p>
            <w:r>
              <w:rPr>
                <w:rFonts w:ascii="Calibri" w:hAnsi="Calibri"/>
                <w:sz w:val="22"/>
              </w:rPr>
              <w:t>LMT peak post-Q1; Iran conflict escalation driving defense demand</w:t>
            </w:r>
          </w:p>
        </w:tc>
      </w:tr>
      <w:tr>
        <w:tc>
          <w:tcPr>
            <w:tcW w:type="dxa" w:w="1728"/>
          </w:tcPr>
          <w:p>
            <w:r>
              <w:rPr>
                <w:rFonts w:ascii="Calibri" w:hAnsi="Calibri"/>
                <w:sz w:val="22"/>
              </w:rPr>
              <w:t>Jun 22, 2026</w:t>
            </w:r>
          </w:p>
        </w:tc>
        <w:tc>
          <w:tcPr>
            <w:tcW w:type="dxa" w:w="1728"/>
          </w:tcPr>
          <w:p>
            <w:r>
              <w:rPr>
                <w:rFonts w:ascii="Calibri" w:hAnsi="Calibri"/>
                <w:sz w:val="22"/>
              </w:rPr>
              <w:t>93.2</w:t>
            </w:r>
          </w:p>
        </w:tc>
        <w:tc>
          <w:tcPr>
            <w:tcW w:type="dxa" w:w="1728"/>
          </w:tcPr>
          <w:p>
            <w:r>
              <w:rPr>
                <w:rFonts w:ascii="Calibri" w:hAnsi="Calibri"/>
                <w:sz w:val="22"/>
              </w:rPr>
              <w:t>107.5</w:t>
            </w:r>
          </w:p>
        </w:tc>
        <w:tc>
          <w:tcPr>
            <w:tcW w:type="dxa" w:w="1728"/>
          </w:tcPr>
          <w:p>
            <w:r>
              <w:rPr>
                <w:rFonts w:ascii="Calibri" w:hAnsi="Calibri"/>
                <w:sz w:val="22"/>
              </w:rPr>
              <w:t>105.0</w:t>
            </w:r>
          </w:p>
        </w:tc>
        <w:tc>
          <w:tcPr>
            <w:tcW w:type="dxa" w:w="1728"/>
          </w:tcPr>
          <w:p>
            <w:r>
              <w:rPr>
                <w:rFonts w:ascii="Calibri" w:hAnsi="Calibri"/>
                <w:sz w:val="22"/>
              </w:rPr>
              <w:t>LMT underperforms sharply; Iran ceasefire / risk-off rotation</w:t>
            </w:r>
          </w:p>
        </w:tc>
      </w:tr>
      <w:tr>
        <w:tc>
          <w:tcPr>
            <w:tcW w:type="dxa" w:w="1728"/>
          </w:tcPr>
          <w:p>
            <w:r>
              <w:rPr>
                <w:rFonts w:ascii="Calibri" w:hAnsi="Calibri"/>
                <w:sz w:val="22"/>
              </w:rPr>
              <w:t>Jul 2, 2026</w:t>
            </w:r>
          </w:p>
        </w:tc>
        <w:tc>
          <w:tcPr>
            <w:tcW w:type="dxa" w:w="1728"/>
          </w:tcPr>
          <w:p>
            <w:r>
              <w:rPr>
                <w:rFonts w:ascii="Calibri" w:hAnsi="Calibri"/>
                <w:sz w:val="22"/>
              </w:rPr>
              <w:t>103.0</w:t>
            </w:r>
          </w:p>
        </w:tc>
        <w:tc>
          <w:tcPr>
            <w:tcW w:type="dxa" w:w="1728"/>
          </w:tcPr>
          <w:p>
            <w:r>
              <w:rPr>
                <w:rFonts w:ascii="Calibri" w:hAnsi="Calibri"/>
                <w:sz w:val="22"/>
              </w:rPr>
              <w:t>113.3</w:t>
            </w:r>
          </w:p>
        </w:tc>
        <w:tc>
          <w:tcPr>
            <w:tcW w:type="dxa" w:w="1728"/>
          </w:tcPr>
          <w:p>
            <w:r>
              <w:rPr>
                <w:rFonts w:ascii="Calibri" w:hAnsi="Calibri"/>
                <w:sz w:val="22"/>
              </w:rPr>
              <w:t>105.1</w:t>
            </w:r>
          </w:p>
        </w:tc>
        <w:tc>
          <w:tcPr>
            <w:tcW w:type="dxa" w:w="1728"/>
          </w:tcPr>
          <w:p>
            <w:r>
              <w:rPr>
                <w:rFonts w:ascii="Calibri" w:hAnsi="Calibri"/>
                <w:sz w:val="22"/>
              </w:rPr>
              <w:t>LMT recovery; Iran ceasefire collapse / renewed strikes boost defense</w:t>
            </w:r>
          </w:p>
        </w:tc>
      </w:tr>
      <w:tr>
        <w:tc>
          <w:tcPr>
            <w:tcW w:type="dxa" w:w="1728"/>
          </w:tcPr>
          <w:p>
            <w:r>
              <w:rPr>
                <w:rFonts w:ascii="Calibri" w:hAnsi="Calibri"/>
                <w:sz w:val="22"/>
              </w:rPr>
              <w:t>Jul 21, 2026</w:t>
            </w:r>
          </w:p>
        </w:tc>
        <w:tc>
          <w:tcPr>
            <w:tcW w:type="dxa" w:w="1728"/>
          </w:tcPr>
          <w:p>
            <w:r>
              <w:rPr>
                <w:rFonts w:ascii="Calibri" w:hAnsi="Calibri"/>
                <w:sz w:val="22"/>
              </w:rPr>
              <w:t>95.7</w:t>
            </w:r>
          </w:p>
        </w:tc>
        <w:tc>
          <w:tcPr>
            <w:tcW w:type="dxa" w:w="1728"/>
          </w:tcPr>
          <w:p>
            <w:r>
              <w:rPr>
                <w:rFonts w:ascii="Calibri" w:hAnsi="Calibri"/>
                <w:sz w:val="22"/>
              </w:rPr>
              <w:t>104.8</w:t>
            </w:r>
          </w:p>
        </w:tc>
        <w:tc>
          <w:tcPr>
            <w:tcW w:type="dxa" w:w="1728"/>
          </w:tcPr>
          <w:p>
            <w:r>
              <w:rPr>
                <w:rFonts w:ascii="Calibri" w:hAnsi="Calibri"/>
                <w:sz w:val="22"/>
              </w:rPr>
              <w:t>105.6</w:t>
            </w:r>
          </w:p>
        </w:tc>
        <w:tc>
          <w:tcPr>
            <w:tcW w:type="dxa" w:w="1728"/>
          </w:tcPr>
          <w:p>
            <w:r>
              <w:rPr>
                <w:rFonts w:ascii="Calibri" w:hAnsi="Calibri"/>
                <w:sz w:val="22"/>
              </w:rPr>
              <w:t>NOC Q2 Beat &amp; Guidance Raise</w:t>
            </w:r>
          </w:p>
        </w:tc>
      </w:tr>
      <w:tr>
        <w:tc>
          <w:tcPr>
            <w:tcW w:type="dxa" w:w="1728"/>
          </w:tcPr>
          <w:p>
            <w:r>
              <w:rPr>
                <w:rFonts w:ascii="Calibri" w:hAnsi="Calibri"/>
                <w:sz w:val="22"/>
              </w:rPr>
              <w:t>Jul 22, 2026 (Latest)</w:t>
            </w:r>
          </w:p>
        </w:tc>
        <w:tc>
          <w:tcPr>
            <w:tcW w:type="dxa" w:w="1728"/>
          </w:tcPr>
          <w:p>
            <w:r>
              <w:rPr>
                <w:rFonts w:ascii="Calibri" w:hAnsi="Calibri"/>
                <w:sz w:val="22"/>
              </w:rPr>
              <w:t>97.1</w:t>
            </w:r>
          </w:p>
        </w:tc>
        <w:tc>
          <w:tcPr>
            <w:tcW w:type="dxa" w:w="1728"/>
          </w:tcPr>
          <w:p>
            <w:r>
              <w:rPr>
                <w:rFonts w:ascii="Calibri" w:hAnsi="Calibri"/>
                <w:sz w:val="22"/>
              </w:rPr>
              <w:t>105.5</w:t>
            </w:r>
          </w:p>
        </w:tc>
        <w:tc>
          <w:tcPr>
            <w:tcW w:type="dxa" w:w="1728"/>
          </w:tcPr>
          <w:p>
            <w:r>
              <w:rPr>
                <w:rFonts w:ascii="Calibri" w:hAnsi="Calibri"/>
                <w:sz w:val="22"/>
              </w:rPr>
              <w:t>105.5</w:t>
            </w:r>
          </w:p>
        </w:tc>
        <w:tc>
          <w:tcPr>
            <w:tcW w:type="dxa" w:w="1728"/>
          </w:tcPr>
          <w:p>
            <w:r>
              <w:rPr>
                <w:rFonts w:ascii="Calibri" w:hAnsi="Calibri"/>
                <w:sz w:val="22"/>
              </w:rPr>
              <w:t>Day before Q2 earnings</w:t>
            </w:r>
          </w:p>
        </w:tc>
      </w:tr>
    </w:tbl>
    <w:p>
      <w:r>
        <w:rPr>
          <w:rFonts w:ascii="Calibri" w:hAnsi="Calibri"/>
          <w:b/>
          <w:color w:val="525866"/>
          <w:sz w:val="22"/>
        </w:rPr>
        <w:t xml:space="preserve">Source: Yahoo Finance / Stock Price Data. </w:t>
      </w:r>
      <w:r>
        <w:rPr>
          <w:rFonts w:ascii="Calibri" w:hAnsi="Calibri"/>
          <w:color w:val="525866"/>
          <w:sz w:val="22"/>
        </w:rPr>
        <w:t>LMT is down ~2.9% since the Q1 earnings date vs. ITA +5.5% and SPY +5.5%. The stock's underperformance is driven by multiple compression — NTM EV/EBITDA contracted from ~13.2x (3 months ago) to ~11.7x currently — rather than estimate cuts (EPS estimates are actually up modestly). The stock briefly outperformed in early June as Iran conflict escalation drove defense sentiment, but gave back gains in late June as the ceasefire temporarily reduced geopolitical risk premium. The stock is now trading at a meaningful discount to its recent range, setting up a favorable risk/reward into the print.</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announcement of the PAC-3 ACE lower-cost interceptor (July 20)</w:t>
      </w:r>
      <w:r>
        <w:rPr>
          <w:rFonts w:ascii="Calibri" w:hAnsi="Calibri"/>
          <w:color w:val="525866"/>
          <w:sz w:val="22"/>
        </w:rPr>
        <w:t xml:space="preserve"> — a new product that directly addresses the military's demand for affordable, high-volume air defense munitions and could represent a significant incremental revenue opportunity beyond the existing PAC-3 MSE ramp.</w:t>
      </w:r>
    </w:p>
    <w:p>
      <w:pPr>
        <w:pStyle w:val="ListBullet"/>
        <w:ind w:left="360" w:hanging="360"/>
      </w:pPr>
      <w:r>
        <w:rPr>
          <w:rFonts w:ascii="Calibri" w:hAnsi="Calibri"/>
          <w:b/>
          <w:color w:val="525866"/>
          <w:sz w:val="22"/>
        </w:rPr>
        <w:t xml:space="preserve">July 20, 2026 — LMT Announces PAC-3 ACE (Adapted Capability Effector): </w:t>
      </w:r>
      <w:r>
        <w:rPr>
          <w:rFonts w:ascii="Calibri" w:hAnsi="Calibri"/>
          <w:color w:val="525866"/>
          <w:sz w:val="22"/>
        </w:rPr>
        <w:t xml:space="preserve">Lockheed unveiled a new lower-cost Patriot interceptor (PAC-3 ACE) costing less than half the ~$4M PAC-3 MSE price, targeting cruise missiles and short/medium-range ballistic threats. Initial production could start within 36 months, with U.S. and European industry partners. </w:t>
      </w:r>
      <w:r>
        <w:rPr>
          <w:rFonts w:ascii="Calibri" w:hAnsi="Calibri"/>
          <w:i/>
          <w:color w:val="525866"/>
          <w:sz w:val="22"/>
        </w:rPr>
        <w:t xml:space="preserve">Implication: </w:t>
      </w:r>
      <w:r>
        <w:rPr>
          <w:rFonts w:ascii="Calibri" w:hAnsi="Calibri"/>
          <w:color w:val="525866"/>
          <w:sz w:val="22"/>
        </w:rPr>
        <w:t>Directly addresses the military's stated need for affordable, high-volume interceptors; could open a new revenue stream alongside the existing MSE ramp and expand the addressable market significantly.</w:t>
      </w:r>
    </w:p>
    <w:p>
      <w:pPr>
        <w:pStyle w:val="ListBullet"/>
        <w:ind w:left="360" w:hanging="360"/>
      </w:pPr>
      <w:r>
        <w:rPr>
          <w:rFonts w:ascii="Calibri" w:hAnsi="Calibri"/>
          <w:b/>
          <w:color w:val="525866"/>
          <w:sz w:val="22"/>
        </w:rPr>
        <w:t xml:space="preserve">July 13, 2026 — L3Harris Wins $955M Golden Dome Satellite Contract: </w:t>
      </w:r>
      <w:r>
        <w:rPr>
          <w:rFonts w:ascii="Calibri" w:hAnsi="Calibri"/>
          <w:color w:val="525866"/>
          <w:sz w:val="22"/>
        </w:rPr>
        <w:t xml:space="preserve">L3Harris secured a Space Development Agency contract for 18 missile-tracking satellites for the Golden Dome shield. </w:t>
      </w:r>
      <w:r>
        <w:rPr>
          <w:rFonts w:ascii="Calibri" w:hAnsi="Calibri"/>
          <w:i/>
          <w:color w:val="525866"/>
          <w:sz w:val="22"/>
        </w:rPr>
        <w:t xml:space="preserve">Implication for LMT: </w:t>
      </w:r>
      <w:r>
        <w:rPr>
          <w:rFonts w:ascii="Calibri" w:hAnsi="Calibri"/>
          <w:color w:val="525866"/>
          <w:sz w:val="22"/>
        </w:rPr>
        <w:t>Validates Golden Dome program momentum; LMT is a key integrated air and missile defense player and stands to benefit from broader Golden Dome spending, though this specific award went to LHX.</w:t>
      </w:r>
    </w:p>
    <w:p>
      <w:pPr>
        <w:pStyle w:val="ListBullet"/>
        <w:ind w:left="360" w:hanging="360"/>
      </w:pPr>
      <w:r>
        <w:rPr>
          <w:rFonts w:ascii="Calibri" w:hAnsi="Calibri"/>
          <w:b/>
          <w:color w:val="525866"/>
          <w:sz w:val="22"/>
        </w:rPr>
        <w:t xml:space="preserve">July 15, 2026 — Trump Presses Defense Executives on Production Acceleration: </w:t>
      </w:r>
      <w:r>
        <w:rPr>
          <w:rFonts w:ascii="Calibri" w:hAnsi="Calibri"/>
          <w:color w:val="525866"/>
          <w:sz w:val="22"/>
        </w:rPr>
        <w:t xml:space="preserve">Reuters reported Trump urged top defense executives to accelerate weapons production, with ~$20B in private investment tied to Patriot system expansion. Pentagon using long-term procurement contracts to de-risk factory investment. </w:t>
      </w:r>
      <w:r>
        <w:rPr>
          <w:rFonts w:ascii="Calibri" w:hAnsi="Calibri"/>
          <w:i/>
          <w:color w:val="525866"/>
          <w:sz w:val="22"/>
        </w:rPr>
        <w:t xml:space="preserve">Implication: </w:t>
      </w:r>
      <w:r>
        <w:rPr>
          <w:rFonts w:ascii="Calibri" w:hAnsi="Calibri"/>
          <w:color w:val="525866"/>
          <w:sz w:val="22"/>
        </w:rPr>
        <w:t>Directly supportive of LMT's PAC-3/THAAD ramp narrative; government commitment to long-term contracts reduces capital risk.</w:t>
      </w:r>
    </w:p>
    <w:p>
      <w:pPr>
        <w:pStyle w:val="ListBullet"/>
        <w:ind w:left="360" w:hanging="360"/>
      </w:pPr>
      <w:r>
        <w:rPr>
          <w:rFonts w:ascii="Calibri" w:hAnsi="Calibri"/>
          <w:b/>
          <w:color w:val="525866"/>
          <w:sz w:val="22"/>
        </w:rPr>
        <w:t xml:space="preserve">July 11–20, 2026 — Iran Conflict Escalation / Ceasefire Collapse: </w:t>
      </w:r>
      <w:r>
        <w:rPr>
          <w:rFonts w:ascii="Calibri" w:hAnsi="Calibri"/>
          <w:color w:val="525866"/>
          <w:sz w:val="22"/>
        </w:rPr>
        <w:t xml:space="preserve">U.S.-Iran military conflict resumed with multi-day strike campaigns; Pentagon faces budget shortfall from Iran war costs; House passed $1.15T defense policy bill (July 22). Patriot missile demand surging globally. </w:t>
      </w:r>
      <w:r>
        <w:rPr>
          <w:rFonts w:ascii="Calibri" w:hAnsi="Calibri"/>
          <w:i/>
          <w:color w:val="525866"/>
          <w:sz w:val="22"/>
        </w:rPr>
        <w:t xml:space="preserve">Implication: </w:t>
      </w:r>
      <w:r>
        <w:rPr>
          <w:rFonts w:ascii="Calibri" w:hAnsi="Calibri"/>
          <w:color w:val="525866"/>
          <w:sz w:val="22"/>
        </w:rPr>
        <w:t>Structurally positive for LMT's PAC-3, THAAD, JASSM/LRASM, and F-35 demand; near-term budget pressure could create timing uncertainty on new contract awards.</w:t>
      </w:r>
    </w:p>
    <w:p>
      <w:pPr>
        <w:pStyle w:val="ListBullet"/>
        <w:ind w:left="360" w:hanging="360"/>
      </w:pPr>
      <w:r>
        <w:rPr>
          <w:rFonts w:ascii="Calibri" w:hAnsi="Calibri"/>
          <w:b/>
          <w:color w:val="525866"/>
          <w:sz w:val="22"/>
        </w:rPr>
        <w:t xml:space="preserve">July 21, 2026 — NOC Q2 2026 Beat &amp; Guidance Raise: </w:t>
      </w:r>
      <w:r>
        <w:rPr>
          <w:rFonts w:ascii="Calibri" w:hAnsi="Calibri"/>
          <w:color w:val="525866"/>
          <w:sz w:val="22"/>
        </w:rPr>
        <w:t xml:space="preserve">Northrop Grumman reported strong Q2 results (sales +5% YoY, book-to-bill 1.84x, record $105B backlog) and raised FY 2026 guidance. NOC also confirmed completing PAC-3 SRM qualification and signing a $2B framework agreement with DoW and Lockheed Martin. </w:t>
      </w:r>
      <w:r>
        <w:rPr>
          <w:rFonts w:ascii="Calibri" w:hAnsi="Calibri"/>
          <w:i/>
          <w:color w:val="525866"/>
          <w:sz w:val="22"/>
        </w:rPr>
        <w:t xml:space="preserve">Implication: </w:t>
      </w:r>
      <w:r>
        <w:rPr>
          <w:rFonts w:ascii="Calibri" w:hAnsi="Calibri"/>
          <w:color w:val="525866"/>
          <w:sz w:val="22"/>
        </w:rPr>
        <w:t>Strong positive read-through for LMT's defense demand environment and PAC-3 supply chain expansion.</w:t>
      </w:r>
    </w:p>
    <w:p>
      <w:pPr>
        <w:pStyle w:val="ListBullet"/>
        <w:ind w:left="360" w:hanging="360"/>
      </w:pPr>
      <w:r>
        <w:rPr>
          <w:rFonts w:ascii="Calibri" w:hAnsi="Calibri"/>
          <w:b/>
          <w:color w:val="525866"/>
          <w:sz w:val="22"/>
        </w:rPr>
        <w:t xml:space="preserve">July 20, 2026 — Trump Executive Order on Defense Supply Chain Screening: </w:t>
      </w:r>
      <w:r>
        <w:rPr>
          <w:rFonts w:ascii="Calibri" w:hAnsi="Calibri"/>
          <w:color w:val="525866"/>
          <w:sz w:val="22"/>
        </w:rPr>
        <w:t xml:space="preserve">EO requires defense contractors to map supply chains from raw materials to final products and eliminate foreign supplier vulnerabilities (particularly China). </w:t>
      </w:r>
      <w:r>
        <w:rPr>
          <w:rFonts w:ascii="Calibri" w:hAnsi="Calibri"/>
          <w:i/>
          <w:color w:val="525866"/>
          <w:sz w:val="22"/>
        </w:rPr>
        <w:t xml:space="preserve">Implication: </w:t>
      </w:r>
      <w:r>
        <w:rPr>
          <w:rFonts w:ascii="Calibri" w:hAnsi="Calibri"/>
          <w:color w:val="525866"/>
          <w:sz w:val="22"/>
        </w:rPr>
        <w:t>Compliance cost headwind for LMT; however, LMT's existing supply chain diversification efforts (targeting 2–3 sources per component) position it relatively well.</w:t>
      </w:r>
    </w:p>
    <w:p>
      <w:pPr>
        <w:pStyle w:val="ListBullet"/>
        <w:ind w:left="360" w:hanging="360"/>
      </w:pPr>
      <w:r>
        <w:rPr>
          <w:rFonts w:ascii="Calibri" w:hAnsi="Calibri"/>
          <w:b/>
          <w:color w:val="525866"/>
          <w:sz w:val="22"/>
        </w:rPr>
        <w:t xml:space="preserve">July 21, 2026 — LMT UK Integrated Air Defense Partnership: </w:t>
      </w:r>
      <w:r>
        <w:rPr>
          <w:rFonts w:ascii="Calibri" w:hAnsi="Calibri"/>
          <w:color w:val="525866"/>
          <w:sz w:val="22"/>
        </w:rPr>
        <w:t xml:space="preserve">Lockheed Martin highlighted its role in the UK's plan to build an integrated air, space, and missile defense operations center. LMT has operated in the UK for 85 years. </w:t>
      </w:r>
      <w:r>
        <w:rPr>
          <w:rFonts w:ascii="Calibri" w:hAnsi="Calibri"/>
          <w:i/>
          <w:color w:val="525866"/>
          <w:sz w:val="22"/>
        </w:rPr>
        <w:t xml:space="preserve">Implication: </w:t>
      </w:r>
      <w:r>
        <w:rPr>
          <w:rFonts w:ascii="Calibri" w:hAnsi="Calibri"/>
          <w:color w:val="525866"/>
          <w:sz w:val="22"/>
        </w:rPr>
        <w:t>Reinforces international demand narrative; potential future contract opportunity.</w:t>
      </w:r>
    </w:p>
    <w:p>
      <w:pPr>
        <w:pStyle w:val="ListBullet"/>
        <w:ind w:left="360" w:hanging="360"/>
      </w:pPr>
      <w:r>
        <w:rPr>
          <w:rFonts w:ascii="Calibri" w:hAnsi="Calibri"/>
          <w:b/>
          <w:color w:val="525866"/>
          <w:sz w:val="22"/>
        </w:rPr>
        <w:t xml:space="preserve">May 27, 2026 — Bernstein Conference (CEO Taiclet &amp; CFO Scott): </w:t>
      </w:r>
      <w:r>
        <w:rPr>
          <w:rFonts w:ascii="Calibri" w:hAnsi="Calibri"/>
          <w:color w:val="525866"/>
          <w:sz w:val="22"/>
        </w:rPr>
        <w:t>LMT CEO and CFO participated in Bernstein's 42nd Annual Strategic Decisions Conference. No specific guidance changes disclosed; conference served as a platform to reinforce the production ramp and framework agreement narrative.</w:t>
      </w:r>
    </w:p>
    <w:p>
      <w:pPr>
        <w:pStyle w:val="ListBullet"/>
        <w:ind w:left="360" w:hanging="360"/>
      </w:pPr>
      <w:r>
        <w:rPr>
          <w:rFonts w:ascii="Calibri" w:hAnsi="Calibri"/>
          <w:b/>
          <w:color w:val="525866"/>
          <w:sz w:val="22"/>
        </w:rPr>
        <w:t xml:space="preserve">May 12, 2026 — Annual Shareholder Meeting: </w:t>
      </w:r>
      <w:r>
        <w:rPr>
          <w:rFonts w:ascii="Calibri" w:hAnsi="Calibri"/>
          <w:color w:val="525866"/>
          <w:sz w:val="22"/>
        </w:rPr>
        <w:t>Shareholders elected directors and rejected an independent chairman proposal. No material financial updates.</w:t>
      </w:r>
    </w:p>
    <w:p>
      <w:pPr>
        <w:pStyle w:val="Heading2"/>
      </w:pPr>
      <w:r>
        <w:rPr>
          <w:rFonts w:ascii="Calibri" w:hAnsi="Calibri"/>
          <w:b/>
          <w:color w:val="3B4259"/>
          <w:sz w:val="28"/>
        </w:rPr>
        <w:t>7B. Northrop Grumman (NOC) — Bernstein Strategic Decisions Conference (May 28, 2026)</w:t>
      </w:r>
    </w:p>
    <w:p>
      <w:r>
        <w:rPr>
          <w:rFonts w:ascii="Calibri" w:hAnsi="Calibri"/>
          <w:b/>
          <w:color w:val="525866"/>
          <w:sz w:val="22"/>
        </w:rPr>
        <w:t xml:space="preserve">Read-Through Strength: </w:t>
      </w:r>
      <w:r>
        <w:rPr>
          <w:rFonts w:ascii="Calibri" w:hAnsi="Calibri"/>
          <w:color w:val="525866"/>
          <w:sz w:val="22"/>
        </w:rPr>
        <w:t>STRONG — Commentary directly addresses Q2 2026 in-quarter demand, PAC-3 ramp, and F-35 outlook.</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NOC Commentary (May 28, 2026)</w:t>
            </w:r>
          </w:p>
        </w:tc>
        <w:tc>
          <w:tcPr>
            <w:tcW w:type="dxa" w:w="2880"/>
            <w:shd w:val="clear" w:color="auto" w:fill="3B4259"/>
          </w:tcPr>
          <w:p>
            <w:r>
              <w:rPr>
                <w:rFonts w:ascii="Calibri" w:hAnsi="Calibri"/>
                <w:b/>
                <w:color w:val="FFFFFF"/>
                <w:sz w:val="22"/>
              </w:rPr>
              <w:t>LMT Read-Through</w:t>
            </w:r>
          </w:p>
        </w:tc>
      </w:tr>
      <w:tr>
        <w:tc>
          <w:tcPr>
            <w:tcW w:type="dxa" w:w="2880"/>
          </w:tcPr>
          <w:p>
            <w:r>
              <w:rPr>
                <w:rFonts w:ascii="Calibri" w:hAnsi="Calibri"/>
                <w:sz w:val="22"/>
              </w:rPr>
              <w:t>Defense Budget &amp; Demand</w:t>
            </w:r>
          </w:p>
        </w:tc>
        <w:tc>
          <w:tcPr>
            <w:tcW w:type="dxa" w:w="2880"/>
          </w:tcPr>
          <w:p>
            <w:r>
              <w:rPr>
                <w:rFonts w:ascii="Calibri" w:hAnsi="Calibri"/>
                <w:sz w:val="22"/>
              </w:rPr>
              <w:t>"Increased demand from both the U.S. and allies"; "robust backlog growth"; $1.15T base budget "very much supports the programs in the NOC portfolio"; "strong bipartisan support for national security spending increases"</w:t>
            </w:r>
          </w:p>
        </w:tc>
        <w:tc>
          <w:tcPr>
            <w:tcW w:type="dxa" w:w="2880"/>
          </w:tcPr>
          <w:p>
            <w:r>
              <w:rPr>
                <w:rFonts w:ascii="Calibri" w:hAnsi="Calibri"/>
                <w:b/>
                <w:color w:val="30A46C"/>
                <w:sz w:val="22"/>
              </w:rPr>
              <w:t>Positive: favorable funding environment for LMT's diverse portfolio; bipartisan support reduces political risk to LMT's programs</w:t>
            </w:r>
          </w:p>
        </w:tc>
      </w:tr>
      <w:tr>
        <w:tc>
          <w:tcPr>
            <w:tcW w:type="dxa" w:w="2880"/>
          </w:tcPr>
          <w:p>
            <w:r>
              <w:rPr>
                <w:rFonts w:ascii="Calibri" w:hAnsi="Calibri"/>
                <w:sz w:val="22"/>
              </w:rPr>
              <w:t>Munitions Demand (Current Quarter)</w:t>
            </w:r>
          </w:p>
        </w:tc>
        <w:tc>
          <w:tcPr>
            <w:tcW w:type="dxa" w:w="2880"/>
          </w:tcPr>
          <w:p>
            <w:r>
              <w:rPr>
                <w:rFonts w:ascii="Calibri" w:hAnsi="Calibri"/>
                <w:sz w:val="22"/>
              </w:rPr>
              <w:t>"Immediate demand uptick for support and sustainment to ongoing military operations at a tempo I haven't seen in a very long time"; "munitions being depleted and needing to replenish"; "reconciliation focuses on large sums to build more munitions more quickly"</w:t>
            </w:r>
          </w:p>
        </w:tc>
        <w:tc>
          <w:tcPr>
            <w:tcW w:type="dxa" w:w="2880"/>
          </w:tcPr>
          <w:p>
            <w:r>
              <w:rPr>
                <w:rFonts w:ascii="Calibri" w:hAnsi="Calibri"/>
                <w:b/>
                <w:color w:val="30A46C"/>
                <w:sz w:val="22"/>
              </w:rPr>
              <w:t>Very positive: directly validates LMT's MFC segment demand for PAC-3, THAAD, JASSM/LRASM in Q2 2026</w:t>
            </w:r>
          </w:p>
        </w:tc>
      </w:tr>
      <w:tr>
        <w:tc>
          <w:tcPr>
            <w:tcW w:type="dxa" w:w="2880"/>
          </w:tcPr>
          <w:p>
            <w:r>
              <w:rPr>
                <w:rFonts w:ascii="Calibri" w:hAnsi="Calibri"/>
                <w:sz w:val="22"/>
              </w:rPr>
              <w:t>PAC-3 Second Source</w:t>
            </w:r>
          </w:p>
        </w:tc>
        <w:tc>
          <w:tcPr>
            <w:tcW w:type="dxa" w:w="2880"/>
          </w:tcPr>
          <w:p>
            <w:r>
              <w:rPr>
                <w:rFonts w:ascii="Calibri" w:hAnsi="Calibri"/>
                <w:sz w:val="22"/>
              </w:rPr>
              <w:t>"We have recently signed an agreement with Lockheed Martin... we are near finally qualifying on that weapon [PAC-3]"</w:t>
            </w:r>
          </w:p>
        </w:tc>
        <w:tc>
          <w:tcPr>
            <w:tcW w:type="dxa" w:w="2880"/>
          </w:tcPr>
          <w:p>
            <w:r>
              <w:rPr>
                <w:rFonts w:ascii="Calibri" w:hAnsi="Calibri"/>
                <w:b/>
                <w:color w:val="30A46C"/>
                <w:sz w:val="22"/>
              </w:rPr>
              <w:t>Direct positive: NOC qualifying as PAC-3 SRM second source de-risks LMT's ramp; confirms LMT is actively managing supply chain</w:t>
            </w:r>
          </w:p>
        </w:tc>
      </w:tr>
      <w:tr>
        <w:tc>
          <w:tcPr>
            <w:tcW w:type="dxa" w:w="2880"/>
          </w:tcPr>
          <w:p>
            <w:r>
              <w:rPr>
                <w:rFonts w:ascii="Calibri" w:hAnsi="Calibri"/>
                <w:sz w:val="22"/>
              </w:rPr>
              <w:t>F-35 Production Outlook</w:t>
            </w:r>
          </w:p>
        </w:tc>
        <w:tc>
          <w:tcPr>
            <w:tcW w:type="dxa" w:w="2880"/>
          </w:tcPr>
          <w:p>
            <w:r>
              <w:rPr>
                <w:rFonts w:ascii="Calibri" w:hAnsi="Calibri"/>
                <w:sz w:val="22"/>
              </w:rPr>
              <w:t>F-35 production "staying pretty flat at 156 for next several years"; NOC describes it as a "modest growth program" driven by sustainment and Block 4 modernization</w:t>
            </w:r>
          </w:p>
        </w:tc>
        <w:tc>
          <w:tcPr>
            <w:tcW w:type="dxa" w:w="2880"/>
          </w:tcPr>
          <w:p>
            <w:r>
              <w:rPr>
                <w:rFonts w:ascii="Calibri" w:hAnsi="Calibri"/>
                <w:sz w:val="22"/>
              </w:rPr>
              <w:t>Mixed: flat production rate limits near-term Aero revenue upside for LMT; sustainment growth (high single digits) is the primary F-35 growth driver, consistent with LMT's own framing</w:t>
            </w:r>
          </w:p>
        </w:tc>
      </w:tr>
      <w:tr>
        <w:tc>
          <w:tcPr>
            <w:tcW w:type="dxa" w:w="2880"/>
          </w:tcPr>
          <w:p>
            <w:r>
              <w:rPr>
                <w:rFonts w:ascii="Calibri" w:hAnsi="Calibri"/>
                <w:sz w:val="22"/>
              </w:rPr>
              <w:t>Tactical Missile Growth</w:t>
            </w:r>
          </w:p>
        </w:tc>
        <w:tc>
          <w:tcPr>
            <w:tcW w:type="dxa" w:w="2880"/>
          </w:tcPr>
          <w:p>
            <w:r>
              <w:rPr>
                <w:rFonts w:ascii="Calibri" w:hAnsi="Calibri"/>
                <w:sz w:val="22"/>
              </w:rPr>
              <w:t>NOC expects tactical missile business to "continue at least teens, if not into the 20s" in growth; Defense Systems expected to grow double-digit "for the foreseeable future fueled largely by munitions demand"</w:t>
            </w:r>
          </w:p>
        </w:tc>
        <w:tc>
          <w:tcPr>
            <w:tcW w:type="dxa" w:w="2880"/>
          </w:tcPr>
          <w:p>
            <w:r>
              <w:rPr>
                <w:rFonts w:ascii="Calibri" w:hAnsi="Calibri"/>
                <w:b/>
                <w:color w:val="30A46C"/>
                <w:sz w:val="22"/>
              </w:rPr>
              <w:t>Positive: industry-wide double-digit missile growth validates LMT's MFC segment growth trajectory through decade-end</w:t>
            </w:r>
          </w:p>
        </w:tc>
      </w:tr>
      <w:tr>
        <w:tc>
          <w:tcPr>
            <w:tcW w:type="dxa" w:w="2880"/>
          </w:tcPr>
          <w:p>
            <w:r>
              <w:rPr>
                <w:rFonts w:ascii="Calibri" w:hAnsi="Calibri"/>
                <w:sz w:val="22"/>
              </w:rPr>
              <w:t>International Demand</w:t>
            </w:r>
          </w:p>
        </w:tc>
        <w:tc>
          <w:tcPr>
            <w:tcW w:type="dxa" w:w="2880"/>
          </w:tcPr>
          <w:p>
            <w:r>
              <w:rPr>
                <w:rFonts w:ascii="Calibri" w:hAnsi="Calibri"/>
                <w:sz w:val="22"/>
              </w:rPr>
              <w:t>"Broad-based" export demand; Middle East expanding "with higher urgency" due to Iran conflict; fast-track export approvals for homeland defense capabilities</w:t>
            </w:r>
          </w:p>
        </w:tc>
        <w:tc>
          <w:tcPr>
            <w:tcW w:type="dxa" w:w="2880"/>
          </w:tcPr>
          <w:p>
            <w:r>
              <w:rPr>
                <w:rFonts w:ascii="Calibri" w:hAnsi="Calibri"/>
                <w:b/>
                <w:color w:val="30A46C"/>
                <w:sz w:val="22"/>
              </w:rPr>
              <w:t>Positive: international demand for PAC-3, THAAD, and F-35 is a structural backstop; LMT management has cited international queue as protection against any U.S. demand shortfall</w:t>
            </w:r>
          </w:p>
        </w:tc>
      </w:tr>
    </w:tbl>
    <w:p>
      <w:pPr>
        <w:pStyle w:val="Heading2"/>
      </w:pPr>
      <w:r>
        <w:rPr>
          <w:rFonts w:ascii="Calibri" w:hAnsi="Calibri"/>
          <w:b/>
          <w:color w:val="3B4259"/>
          <w:sz w:val="28"/>
        </w:rPr>
        <w:t>7C. L3Harris Technologies (LHX) — Bernstein Strategic Decisions Conference (May 27, 2026)</w:t>
      </w:r>
    </w:p>
    <w:p>
      <w:r>
        <w:rPr>
          <w:rFonts w:ascii="Calibri" w:hAnsi="Calibri"/>
          <w:b/>
          <w:color w:val="525866"/>
          <w:sz w:val="22"/>
        </w:rPr>
        <w:t xml:space="preserve">Read-Through Strength: </w:t>
      </w:r>
      <w:r>
        <w:rPr>
          <w:rFonts w:ascii="Calibri" w:hAnsi="Calibri"/>
          <w:color w:val="525866"/>
          <w:sz w:val="22"/>
        </w:rPr>
        <w:t>MODERATE-STRONG — L3Harris is a key LMT supply chain partner (solid rocket motors for PAC-3/THAAD); commentary on missile production ramp and supply chain is directly relevant to LMT's Q2 execution.</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LHX Commentary (May 27, 2026)</w:t>
            </w:r>
          </w:p>
        </w:tc>
        <w:tc>
          <w:tcPr>
            <w:tcW w:type="dxa" w:w="2880"/>
            <w:shd w:val="clear" w:color="auto" w:fill="3B4259"/>
          </w:tcPr>
          <w:p>
            <w:r>
              <w:rPr>
                <w:rFonts w:ascii="Calibri" w:hAnsi="Calibri"/>
                <w:b/>
                <w:color w:val="FFFFFF"/>
                <w:sz w:val="22"/>
              </w:rPr>
              <w:t>LMT Read-Through</w:t>
            </w:r>
          </w:p>
        </w:tc>
      </w:tr>
      <w:tr>
        <w:tc>
          <w:tcPr>
            <w:tcW w:type="dxa" w:w="2880"/>
          </w:tcPr>
          <w:p>
            <w:r>
              <w:rPr>
                <w:rFonts w:ascii="Calibri" w:hAnsi="Calibri"/>
                <w:sz w:val="22"/>
              </w:rPr>
              <w:t>2026 Outlook (Current Year)</w:t>
            </w:r>
          </w:p>
        </w:tc>
        <w:tc>
          <w:tcPr>
            <w:tcW w:type="dxa" w:w="2880"/>
          </w:tcPr>
          <w:p>
            <w:r>
              <w:rPr>
                <w:rFonts w:ascii="Calibri" w:hAnsi="Calibri"/>
                <w:sz w:val="22"/>
              </w:rPr>
              <w:t>L3Harris positioned to "exceed" its 2026 framework for revenue, cash, and margin; current guidance $23–$23.5B revenue "above where the plan had been for '26"; CEO: "base budget will definitely be over a trillion dollars"</w:t>
            </w:r>
          </w:p>
        </w:tc>
        <w:tc>
          <w:tcPr>
            <w:tcW w:type="dxa" w:w="2880"/>
          </w:tcPr>
          <w:p>
            <w:r>
              <w:rPr>
                <w:rFonts w:ascii="Calibri" w:hAnsi="Calibri"/>
                <w:b/>
                <w:color w:val="30A46C"/>
                <w:sz w:val="22"/>
              </w:rPr>
              <w:t>Positive: peer exceeding its own 2026 plan in same demand environment where LMT is guiding for sequential improvement</w:t>
            </w:r>
          </w:p>
        </w:tc>
      </w:tr>
      <w:tr>
        <w:tc>
          <w:tcPr>
            <w:tcW w:type="dxa" w:w="2880"/>
          </w:tcPr>
          <w:p>
            <w:r>
              <w:rPr>
                <w:rFonts w:ascii="Calibri" w:hAnsi="Calibri"/>
                <w:sz w:val="22"/>
              </w:rPr>
              <w:t>Supply Chain Constraints</w:t>
            </w:r>
          </w:p>
        </w:tc>
        <w:tc>
          <w:tcPr>
            <w:tcW w:type="dxa" w:w="2880"/>
          </w:tcPr>
          <w:p>
            <w:r>
              <w:rPr>
                <w:rFonts w:ascii="Calibri" w:hAnsi="Calibri"/>
                <w:sz w:val="22"/>
              </w:rPr>
              <w:t>"Challenges really come down to the supply chain because a lot of these products were doubling, tripling, quadrupling in quantities and a lot of these is only a single source"; actively "setting up a second or third source"</w:t>
            </w:r>
          </w:p>
        </w:tc>
        <w:tc>
          <w:tcPr>
            <w:tcW w:type="dxa" w:w="2880"/>
          </w:tcPr>
          <w:p>
            <w:r>
              <w:rPr>
                <w:rFonts w:ascii="Calibri" w:hAnsi="Calibri"/>
                <w:sz w:val="22"/>
              </w:rPr>
              <w:t>Neutral: supply chain constraints are industry-wide; LMT is managing this by targeting 2–3 sources per component; watch for Q2 commentary on any production bottlenecks</w:t>
            </w:r>
          </w:p>
        </w:tc>
      </w:tr>
      <w:tr>
        <w:tc>
          <w:tcPr>
            <w:tcW w:type="dxa" w:w="2880"/>
          </w:tcPr>
          <w:p>
            <w:r>
              <w:rPr>
                <w:rFonts w:ascii="Calibri" w:hAnsi="Calibri"/>
                <w:sz w:val="22"/>
              </w:rPr>
              <w:t>PAC-3 SRM Production (Current Quarter)</w:t>
            </w:r>
          </w:p>
        </w:tc>
        <w:tc>
          <w:tcPr>
            <w:tcW w:type="dxa" w:w="2880"/>
          </w:tcPr>
          <w:p>
            <w:r>
              <w:rPr>
                <w:rFonts w:ascii="Calibri" w:hAnsi="Calibri"/>
                <w:sz w:val="22"/>
              </w:rPr>
              <w:t>L3Harris working "24/7" on solid rocket motors at Canoga Park, Camden, Huntsville, Orange facilities; $3B investment to "double, triple or quadruple production"; new PAC-3 Patriot building in Camden, AR opening July 2027; "Lockheed Martin is down there" (Camden)</w:t>
            </w:r>
          </w:p>
        </w:tc>
        <w:tc>
          <w:tcPr>
            <w:tcW w:type="dxa" w:w="2880"/>
          </w:tcPr>
          <w:p>
            <w:r>
              <w:rPr>
                <w:rFonts w:ascii="Calibri" w:hAnsi="Calibri"/>
                <w:b/>
                <w:color w:val="30A46C"/>
                <w:sz w:val="22"/>
              </w:rPr>
              <w:t>Direct positive: L3Harris is LMT's primary SRM supplier for PAC-3; 24/7 production confirms supply chain is ramping in Q2 2026; new facility timeline (July 2027) sets expectations for when full ramp capacity is available</w:t>
            </w:r>
          </w:p>
        </w:tc>
      </w:tr>
      <w:tr>
        <w:tc>
          <w:tcPr>
            <w:tcW w:type="dxa" w:w="2880"/>
          </w:tcPr>
          <w:p>
            <w:r>
              <w:rPr>
                <w:rFonts w:ascii="Calibri" w:hAnsi="Calibri"/>
                <w:sz w:val="22"/>
              </w:rPr>
              <w:t>Pentagon Equity Investment</w:t>
            </w:r>
          </w:p>
        </w:tc>
        <w:tc>
          <w:tcPr>
            <w:tcW w:type="dxa" w:w="2880"/>
          </w:tcPr>
          <w:p>
            <w:r>
              <w:rPr>
                <w:rFonts w:ascii="Calibri" w:hAnsi="Calibri"/>
                <w:sz w:val="22"/>
              </w:rPr>
              <w:t>$1B Pentagon equity investment in L3Harris missile business arrived April 2026; used to finance $3B expansion; sets precedent for creative government financing of defense industrial base</w:t>
            </w:r>
          </w:p>
        </w:tc>
        <w:tc>
          <w:tcPr>
            <w:tcW w:type="dxa" w:w="2880"/>
          </w:tcPr>
          <w:p>
            <w:r>
              <w:rPr>
                <w:rFonts w:ascii="Calibri" w:hAnsi="Calibri"/>
                <w:sz w:val="22"/>
              </w:rPr>
              <w:t>Positive: government willingness to directly finance supplier capacity de-risks LMT's supply chain; could set precedent for similar mechanisms with LMT or other primes</w:t>
            </w:r>
          </w:p>
        </w:tc>
      </w:tr>
      <w:tr>
        <w:tc>
          <w:tcPr>
            <w:tcW w:type="dxa" w:w="2880"/>
          </w:tcPr>
          <w:p>
            <w:r>
              <w:rPr>
                <w:rFonts w:ascii="Calibri" w:hAnsi="Calibri"/>
                <w:sz w:val="22"/>
              </w:rPr>
              <w:t>2026 Revenue Insulation</w:t>
            </w:r>
          </w:p>
        </w:tc>
        <w:tc>
          <w:tcPr>
            <w:tcW w:type="dxa" w:w="2880"/>
          </w:tcPr>
          <w:p>
            <w:r>
              <w:rPr>
                <w:rFonts w:ascii="Calibri" w:hAnsi="Calibri"/>
                <w:sz w:val="22"/>
              </w:rPr>
              <w:t>"There's no 2026 revenue in our guidance tied to anything we just talked about [budget resolutions]. That's more '27 and '28" — 2026 revenue is fully backed by existing funded backlog</w:t>
            </w:r>
          </w:p>
        </w:tc>
        <w:tc>
          <w:tcPr>
            <w:tcW w:type="dxa" w:w="2880"/>
          </w:tcPr>
          <w:p>
            <w:r>
              <w:rPr>
                <w:rFonts w:ascii="Calibri" w:hAnsi="Calibri"/>
                <w:sz w:val="22"/>
              </w:rPr>
              <w:t>Positive read-through: LMT's 2026 guidance is similarly backed by existing backlog ($186B); budget timing uncertainty is a 2027+ issue, not a Q2 2026 risk</w:t>
            </w:r>
          </w:p>
        </w:tc>
      </w:tr>
      <w:tr>
        <w:tc>
          <w:tcPr>
            <w:tcW w:type="dxa" w:w="2880"/>
          </w:tcPr>
          <w:p>
            <w:r>
              <w:rPr>
                <w:rFonts w:ascii="Calibri" w:hAnsi="Calibri"/>
                <w:sz w:val="22"/>
              </w:rPr>
              <w:t>FCF Prioritization</w:t>
            </w:r>
          </w:p>
        </w:tc>
        <w:tc>
          <w:tcPr>
            <w:tcW w:type="dxa" w:w="2880"/>
          </w:tcPr>
          <w:p>
            <w:r>
              <w:rPr>
                <w:rFonts w:ascii="Calibri" w:hAnsi="Calibri"/>
                <w:sz w:val="22"/>
              </w:rPr>
              <w:t>LHX prioritizing capacity investment over maximizing near-term FCF; "if there was a trade on the 3.1 to 3, we'd probably spend another $100M to drive more growth"</w:t>
            </w:r>
          </w:p>
        </w:tc>
        <w:tc>
          <w:tcPr>
            <w:tcW w:type="dxa" w:w="2880"/>
          </w:tcPr>
          <w:p>
            <w:r>
              <w:rPr>
                <w:rFonts w:ascii="Calibri" w:hAnsi="Calibri"/>
                <w:sz w:val="22"/>
              </w:rPr>
              <w:t>Neutral: consistent with LMT's own elevated CapEx posture; validates that FCF below guidance midpoint is an industry-wide phenomenon driven by deliberate investment, not operational weakness</w:t>
            </w:r>
          </w:p>
        </w:tc>
      </w:tr>
    </w:tbl>
    <w:p>
      <w:pPr>
        <w:pStyle w:val="Heading2"/>
      </w:pPr>
      <w:r>
        <w:rPr>
          <w:rFonts w:ascii="Calibri" w:hAnsi="Calibri"/>
          <w:b/>
          <w:color w:val="3B4259"/>
          <w:sz w:val="28"/>
        </w:rPr>
        <w:t>7D. HII (Huntington Ingalls Industries) — Bernstein Strategic Decisions Conference (May 28, 2026)</w:t>
      </w:r>
    </w:p>
    <w:p>
      <w:r>
        <w:rPr>
          <w:rFonts w:ascii="Calibri" w:hAnsi="Calibri"/>
          <w:b/>
          <w:color w:val="525866"/>
          <w:sz w:val="22"/>
        </w:rPr>
        <w:t xml:space="preserve">Read-Through Strength: </w:t>
      </w:r>
      <w:r>
        <w:rPr>
          <w:rFonts w:ascii="Calibri" w:hAnsi="Calibri"/>
          <w:color w:val="525866"/>
          <w:sz w:val="22"/>
        </w:rPr>
        <w:t>LIMITED — HII is primarily a shipbuilder with limited direct overlap with LMT's core segments. Commentary is included for completeness on defense budget and labor market themes, but most items are company-specific.</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HII Commentary (May 28, 2026)</w:t>
            </w:r>
          </w:p>
        </w:tc>
        <w:tc>
          <w:tcPr>
            <w:tcW w:type="dxa" w:w="2880"/>
            <w:shd w:val="clear" w:color="auto" w:fill="3B4259"/>
          </w:tcPr>
          <w:p>
            <w:r>
              <w:rPr>
                <w:rFonts w:ascii="Calibri" w:hAnsi="Calibri"/>
                <w:b/>
                <w:color w:val="FFFFFF"/>
                <w:sz w:val="22"/>
              </w:rPr>
              <w:t>LMT Read-Through</w:t>
            </w:r>
          </w:p>
        </w:tc>
      </w:tr>
      <w:tr>
        <w:tc>
          <w:tcPr>
            <w:tcW w:type="dxa" w:w="2880"/>
          </w:tcPr>
          <w:p>
            <w:r>
              <w:rPr>
                <w:rFonts w:ascii="Calibri" w:hAnsi="Calibri"/>
                <w:sz w:val="22"/>
              </w:rPr>
              <w:t>Defense Budget</w:t>
            </w:r>
          </w:p>
        </w:tc>
        <w:tc>
          <w:tcPr>
            <w:tcW w:type="dxa" w:w="2880"/>
          </w:tcPr>
          <w:p>
            <w:r>
              <w:rPr>
                <w:rFonts w:ascii="Calibri" w:hAnsi="Calibri"/>
                <w:sz w:val="22"/>
              </w:rPr>
              <w:t>Trump administration's $1.5T budget proposal includes "a lot of money for shipbuilding"; HII's 6% midterm revenue growth "all protected in the base budget"; potential upside from nuclear battleship and frigate programs</w:t>
            </w:r>
          </w:p>
        </w:tc>
        <w:tc>
          <w:tcPr>
            <w:tcW w:type="dxa" w:w="2880"/>
          </w:tcPr>
          <w:p>
            <w:r>
              <w:rPr>
                <w:rFonts w:ascii="Calibri" w:hAnsi="Calibri"/>
                <w:sz w:val="22"/>
              </w:rPr>
              <w:t>Modestly positive: strong defense budget supports broad defense spending environment; LMT's programs are similarly protected in the base budget</w:t>
            </w:r>
          </w:p>
        </w:tc>
      </w:tr>
      <w:tr>
        <w:tc>
          <w:tcPr>
            <w:tcW w:type="dxa" w:w="2880"/>
          </w:tcPr>
          <w:p>
            <w:r>
              <w:rPr>
                <w:rFonts w:ascii="Calibri" w:hAnsi="Calibri"/>
                <w:sz w:val="22"/>
              </w:rPr>
              <w:t>Labor Market</w:t>
            </w:r>
          </w:p>
        </w:tc>
        <w:tc>
          <w:tcPr>
            <w:tcW w:type="dxa" w:w="2880"/>
          </w:tcPr>
          <w:p>
            <w:r>
              <w:rPr>
                <w:rFonts w:ascii="Calibri" w:hAnsi="Calibri"/>
                <w:sz w:val="22"/>
              </w:rPr>
              <w:t>"Attrition rates are better. Their labor situation is better. They met their throughput goals. They're actually ahead of their throughput goals through Q1, especially in the submarine enterprise"</w:t>
            </w:r>
          </w:p>
        </w:tc>
        <w:tc>
          <w:tcPr>
            <w:tcW w:type="dxa" w:w="2880"/>
          </w:tcPr>
          <w:p>
            <w:r>
              <w:rPr>
                <w:rFonts w:ascii="Calibri" w:hAnsi="Calibri"/>
                <w:sz w:val="22"/>
              </w:rPr>
              <w:t>Modestly positive: improving labor market conditions in defense manufacturing could benefit LMT's own production ramp execution</w:t>
            </w:r>
          </w:p>
        </w:tc>
      </w:tr>
      <w:tr>
        <w:tc>
          <w:tcPr>
            <w:tcW w:type="dxa" w:w="2880"/>
          </w:tcPr>
          <w:p>
            <w:r>
              <w:rPr>
                <w:rFonts w:ascii="Calibri" w:hAnsi="Calibri"/>
                <w:sz w:val="22"/>
              </w:rPr>
              <w:t>Virginia Payload Modules</w:t>
            </w:r>
          </w:p>
        </w:tc>
        <w:tc>
          <w:tcPr>
            <w:tcW w:type="dxa" w:w="2880"/>
          </w:tcPr>
          <w:p>
            <w:r>
              <w:rPr>
                <w:rFonts w:ascii="Calibri" w:hAnsi="Calibri"/>
                <w:sz w:val="22"/>
              </w:rPr>
              <w:t>HII integrates Virginia payload modules (Block V); "We don't build a module, but we do integrate it" — LMT is a key supplier for these modules</w:t>
            </w:r>
          </w:p>
        </w:tc>
        <w:tc>
          <w:tcPr>
            <w:tcW w:type="dxa" w:w="2880"/>
          </w:tcPr>
          <w:p>
            <w:r>
              <w:rPr>
                <w:rFonts w:ascii="Calibri" w:hAnsi="Calibri"/>
                <w:sz w:val="22"/>
              </w:rPr>
              <w:t>Modestly positive: positive momentum in submarine programs supports LMT's naval systems and components revenue in the Space/RMS segments</w:t>
            </w:r>
          </w:p>
        </w:tc>
      </w:tr>
      <w:tr>
        <w:tc>
          <w:tcPr>
            <w:tcW w:type="dxa" w:w="2880"/>
          </w:tcPr>
          <w:p>
            <w:r>
              <w:rPr>
                <w:rFonts w:ascii="Calibri" w:hAnsi="Calibri"/>
                <w:sz w:val="22"/>
              </w:rPr>
              <w:t>Unmanned Systems</w:t>
            </w:r>
          </w:p>
        </w:tc>
        <w:tc>
          <w:tcPr>
            <w:tcW w:type="dxa" w:w="2880"/>
          </w:tcPr>
          <w:p>
            <w:r>
              <w:rPr>
                <w:rFonts w:ascii="Calibri" w:hAnsi="Calibri"/>
                <w:sz w:val="22"/>
              </w:rPr>
              <w:t>"Nearing that inflection point in unmanned, where it's going to be more tangible part of the Navy fleet"; "large quantities of surface vehicles that are going to be bought"</w:t>
            </w:r>
          </w:p>
        </w:tc>
        <w:tc>
          <w:tcPr>
            <w:tcW w:type="dxa" w:w="2880"/>
          </w:tcPr>
          <w:p>
            <w:r>
              <w:rPr>
                <w:rFonts w:ascii="Calibri" w:hAnsi="Calibri"/>
                <w:sz w:val="22"/>
              </w:rPr>
              <w:t>Modestly positive: LMT is active in unmanned systems (autonomous Black Hawk, Saildrone integration); growing Navy unmanned demand is a future opportunity</w:t>
            </w:r>
          </w:p>
        </w:tc>
      </w:tr>
      <w:tr>
        <w:tc>
          <w:tcPr>
            <w:tcW w:type="dxa" w:w="2880"/>
          </w:tcPr>
          <w:p>
            <w:r>
              <w:rPr>
                <w:rFonts w:ascii="Calibri" w:hAnsi="Calibri"/>
                <w:sz w:val="22"/>
              </w:rPr>
              <w:t>Block 6 Submarine Contracts</w:t>
            </w:r>
          </w:p>
        </w:tc>
        <w:tc>
          <w:tcPr>
            <w:tcW w:type="dxa" w:w="2880"/>
          </w:tcPr>
          <w:p>
            <w:r>
              <w:rPr>
                <w:rFonts w:ascii="Calibri" w:hAnsi="Calibri"/>
                <w:sz w:val="22"/>
              </w:rPr>
              <w:t>Block 6 contracts expected "done before end of Q2"; new contracts reflect "completely different economic environment" with inflation and supply chain risk adjustments; targeting 9–10% shipbuilding margins</w:t>
            </w:r>
          </w:p>
        </w:tc>
        <w:tc>
          <w:tcPr>
            <w:tcW w:type="dxa" w:w="2880"/>
          </w:tcPr>
          <w:p>
            <w:r>
              <w:rPr>
                <w:rFonts w:ascii="Calibri" w:hAnsi="Calibri"/>
                <w:sz w:val="22"/>
              </w:rPr>
              <w:t>Company-specific to HII — not a direct LMT read-through; however, government willingness to reprice contracts for inflation/supply chain risk is a positive precedent for LMT's own contract negotiations</w:t>
            </w:r>
          </w:p>
        </w:tc>
      </w:tr>
    </w:tbl>
    <w:p>
      <w:pPr>
        <w:pStyle w:val="Heading2"/>
      </w:pPr>
      <w:r>
        <w:rPr>
          <w:rFonts w:ascii="Calibri" w:hAnsi="Calibri"/>
          <w:b/>
          <w:color w:val="3B4259"/>
          <w:sz w:val="28"/>
        </w:rPr>
        <w:t>7E. RTX (Raytheon Technologies) — Note on Availability</w:t>
      </w:r>
    </w:p>
    <w:p>
      <w:r>
        <w:rPr>
          <w:rFonts w:ascii="Calibri" w:hAnsi="Calibri"/>
          <w:b/>
          <w:color w:val="525866"/>
          <w:sz w:val="22"/>
        </w:rPr>
        <w:t xml:space="preserve">Read-Through Strength: </w:t>
      </w:r>
      <w:r>
        <w:rPr>
          <w:rFonts w:ascii="Calibri" w:hAnsi="Calibri"/>
          <w:color w:val="525866"/>
          <w:sz w:val="22"/>
        </w:rPr>
        <w:t>NOT AVAILABLE — RTX (Raytheon Technologies) is scheduled to report Q2 2026 results on July 23, 2026 (same day as LMT), so no Q2 results are available as a pre-earnings read-through. The May 29 Bernstein transcript in the research database was for a different company. The July 9 preliminary results document was for Rackspace Technology (a cloud company), not Raytheon — this is a data labeling issue and has no read-through to LMT.</w:t>
      </w:r>
    </w:p>
    <w:p>
      <w:r>
        <w:rPr>
          <w:rFonts w:ascii="Calibri" w:hAnsi="Calibri"/>
          <w:b/>
          <w:color w:val="525866"/>
          <w:sz w:val="22"/>
        </w:rPr>
        <w:t xml:space="preserve">Watch for RTX Q2 commentary on: </w:t>
      </w:r>
      <w:r>
        <w:rPr>
          <w:rFonts w:ascii="Calibri" w:hAnsi="Calibri"/>
          <w:color w:val="525866"/>
          <w:sz w:val="22"/>
        </w:rPr>
        <w:t>Patriot launcher demand (RTX makes the launcher; LMT makes the interceptor), LTAMDS radar production timeline, international missile defense orders, and any commentary on the PAC-3 ACE development partnership with LMT.</w:t>
      </w:r>
    </w:p>
    <w:p>
      <w:pPr>
        <w:pStyle w:val="Heading2"/>
      </w:pPr>
      <w:r>
        <w:rPr>
          <w:rFonts w:ascii="Calibri" w:hAnsi="Calibri"/>
          <w:b/>
          <w:color w:val="3B4259"/>
          <w:sz w:val="28"/>
        </w:rPr>
        <w:t>7F. Peer Commentary Summary — Key Themes for LMT Q2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Primary Source</w:t>
            </w:r>
          </w:p>
        </w:tc>
        <w:tc>
          <w:tcPr>
            <w:tcW w:type="dxa" w:w="2160"/>
            <w:shd w:val="clear" w:color="auto" w:fill="3B4259"/>
          </w:tcPr>
          <w:p>
            <w:r>
              <w:rPr>
                <w:rFonts w:ascii="Calibri" w:hAnsi="Calibri"/>
                <w:b/>
                <w:color w:val="FFFFFF"/>
                <w:sz w:val="22"/>
              </w:rPr>
              <w:t>LMT Implication</w:t>
            </w:r>
          </w:p>
        </w:tc>
      </w:tr>
      <w:tr>
        <w:tc>
          <w:tcPr>
            <w:tcW w:type="dxa" w:w="2160"/>
          </w:tcPr>
          <w:p>
            <w:r>
              <w:rPr>
                <w:rFonts w:ascii="Calibri" w:hAnsi="Calibri"/>
                <w:sz w:val="22"/>
              </w:rPr>
              <w:t>Defense demand environment (Q2 2026)</w:t>
            </w:r>
          </w:p>
        </w:tc>
        <w:tc>
          <w:tcPr>
            <w:tcW w:type="dxa" w:w="2160"/>
          </w:tcPr>
          <w:p>
            <w:r>
              <w:rPr>
                <w:rFonts w:ascii="Calibri" w:hAnsi="Calibri"/>
                <w:b/>
                <w:color w:val="30A46C"/>
                <w:sz w:val="22"/>
              </w:rPr>
              <w:t>Very Strong</w:t>
            </w:r>
          </w:p>
        </w:tc>
        <w:tc>
          <w:tcPr>
            <w:tcW w:type="dxa" w:w="2160"/>
          </w:tcPr>
          <w:p>
            <w:r>
              <w:rPr>
                <w:rFonts w:ascii="Calibri" w:hAnsi="Calibri"/>
                <w:sz w:val="22"/>
              </w:rPr>
              <w:t>NOC Q2 earnings (Jul 21)</w:t>
            </w:r>
          </w:p>
        </w:tc>
        <w:tc>
          <w:tcPr>
            <w:tcW w:type="dxa" w:w="2160"/>
          </w:tcPr>
          <w:p>
            <w:r>
              <w:rPr>
                <w:rFonts w:ascii="Calibri" w:hAnsi="Calibri"/>
                <w:sz w:val="22"/>
              </w:rPr>
              <w:t>Broad-based demand, record bookings, and guidance raises at peers validate LMT's own demand narrative</w:t>
            </w:r>
          </w:p>
        </w:tc>
      </w:tr>
      <w:tr>
        <w:tc>
          <w:tcPr>
            <w:tcW w:type="dxa" w:w="2160"/>
          </w:tcPr>
          <w:p>
            <w:r>
              <w:rPr>
                <w:rFonts w:ascii="Calibri" w:hAnsi="Calibri"/>
                <w:sz w:val="22"/>
              </w:rPr>
              <w:t>PAC-3 / missile production ramp</w:t>
            </w:r>
          </w:p>
        </w:tc>
        <w:tc>
          <w:tcPr>
            <w:tcW w:type="dxa" w:w="2160"/>
          </w:tcPr>
          <w:p>
            <w:r>
              <w:rPr>
                <w:rFonts w:ascii="Calibri" w:hAnsi="Calibri"/>
                <w:b/>
                <w:color w:val="30A46C"/>
                <w:sz w:val="22"/>
              </w:rPr>
              <w:t>Very Strong</w:t>
            </w:r>
          </w:p>
        </w:tc>
        <w:tc>
          <w:tcPr>
            <w:tcW w:type="dxa" w:w="2160"/>
          </w:tcPr>
          <w:p>
            <w:r>
              <w:rPr>
                <w:rFonts w:ascii="Calibri" w:hAnsi="Calibri"/>
                <w:sz w:val="22"/>
              </w:rPr>
              <w:t>NOC (Jul 21 &amp; May 28); LHX (May 27)</w:t>
            </w:r>
          </w:p>
        </w:tc>
        <w:tc>
          <w:tcPr>
            <w:tcW w:type="dxa" w:w="2160"/>
          </w:tcPr>
          <w:p>
            <w:r>
              <w:rPr>
                <w:rFonts w:ascii="Calibri" w:hAnsi="Calibri"/>
                <w:sz w:val="22"/>
              </w:rPr>
              <w:t>NOC SRM qualification + $2B framework; LHX 24/7 SRM production; both confirm supply chain is ramping in Q2</w:t>
            </w:r>
          </w:p>
        </w:tc>
      </w:tr>
      <w:tr>
        <w:tc>
          <w:tcPr>
            <w:tcW w:type="dxa" w:w="2160"/>
          </w:tcPr>
          <w:p>
            <w:r>
              <w:rPr>
                <w:rFonts w:ascii="Calibri" w:hAnsi="Calibri"/>
                <w:sz w:val="22"/>
              </w:rPr>
              <w:t>International demand (Middle East, Europe)</w:t>
            </w:r>
          </w:p>
        </w:tc>
        <w:tc>
          <w:tcPr>
            <w:tcW w:type="dxa" w:w="2160"/>
          </w:tcPr>
          <w:p>
            <w:r>
              <w:rPr>
                <w:rFonts w:ascii="Calibri" w:hAnsi="Calibri"/>
                <w:b/>
                <w:color w:val="30A46C"/>
                <w:sz w:val="22"/>
              </w:rPr>
              <w:t>Strong</w:t>
            </w:r>
          </w:p>
        </w:tc>
        <w:tc>
          <w:tcPr>
            <w:tcW w:type="dxa" w:w="2160"/>
          </w:tcPr>
          <w:p>
            <w:r>
              <w:rPr>
                <w:rFonts w:ascii="Calibri" w:hAnsi="Calibri"/>
                <w:sz w:val="22"/>
              </w:rPr>
              <w:t>NOC (May 28 &amp; Jul 21)</w:t>
            </w:r>
          </w:p>
        </w:tc>
        <w:tc>
          <w:tcPr>
            <w:tcW w:type="dxa" w:w="2160"/>
          </w:tcPr>
          <w:p>
            <w:r>
              <w:rPr>
                <w:rFonts w:ascii="Calibri" w:hAnsi="Calibri"/>
                <w:sz w:val="22"/>
              </w:rPr>
              <w:t>Fast-track export approvals, NATO $50B commitment, Kuwait IBCS order — all validate LMT's international pipeline</w:t>
            </w:r>
          </w:p>
        </w:tc>
      </w:tr>
      <w:tr>
        <w:tc>
          <w:tcPr>
            <w:tcW w:type="dxa" w:w="2160"/>
          </w:tcPr>
          <w:p>
            <w:r>
              <w:rPr>
                <w:rFonts w:ascii="Calibri" w:hAnsi="Calibri"/>
                <w:sz w:val="22"/>
              </w:rPr>
              <w:t>F-35 production rate</w:t>
            </w:r>
          </w:p>
        </w:tc>
        <w:tc>
          <w:tcPr>
            <w:tcW w:type="dxa" w:w="2160"/>
          </w:tcPr>
          <w:p>
            <w:r>
              <w:rPr>
                <w:rFonts w:ascii="Calibri" w:hAnsi="Calibri"/>
                <w:sz w:val="22"/>
              </w:rPr>
              <w:t>Neutral</w:t>
            </w:r>
          </w:p>
        </w:tc>
        <w:tc>
          <w:tcPr>
            <w:tcW w:type="dxa" w:w="2160"/>
          </w:tcPr>
          <w:p>
            <w:r>
              <w:rPr>
                <w:rFonts w:ascii="Calibri" w:hAnsi="Calibri"/>
                <w:sz w:val="22"/>
              </w:rPr>
              <w:t>NOC (May 28)</w:t>
            </w:r>
          </w:p>
        </w:tc>
        <w:tc>
          <w:tcPr>
            <w:tcW w:type="dxa" w:w="2160"/>
          </w:tcPr>
          <w:p>
            <w:r>
              <w:rPr>
                <w:rFonts w:ascii="Calibri" w:hAnsi="Calibri"/>
                <w:sz w:val="22"/>
              </w:rPr>
              <w:t>Flat at ~156/year; sustainment is the growth driver — consistent with LMT's own framing; no negative surprise</w:t>
            </w:r>
          </w:p>
        </w:tc>
      </w:tr>
      <w:tr>
        <w:tc>
          <w:tcPr>
            <w:tcW w:type="dxa" w:w="2160"/>
          </w:tcPr>
          <w:p>
            <w:r>
              <w:rPr>
                <w:rFonts w:ascii="Calibri" w:hAnsi="Calibri"/>
                <w:sz w:val="22"/>
              </w:rPr>
              <w:t>FCF / CapEx investment posture</w:t>
            </w:r>
          </w:p>
        </w:tc>
        <w:tc>
          <w:tcPr>
            <w:tcW w:type="dxa" w:w="2160"/>
          </w:tcPr>
          <w:p>
            <w:r>
              <w:rPr>
                <w:rFonts w:ascii="Calibri" w:hAnsi="Calibri"/>
                <w:sz w:val="22"/>
              </w:rPr>
              <w:t>Neutral</w:t>
            </w:r>
          </w:p>
        </w:tc>
        <w:tc>
          <w:tcPr>
            <w:tcW w:type="dxa" w:w="2160"/>
          </w:tcPr>
          <w:p>
            <w:r>
              <w:rPr>
                <w:rFonts w:ascii="Calibri" w:hAnsi="Calibri"/>
                <w:sz w:val="22"/>
              </w:rPr>
              <w:t>NOC (May 28); LHX (May 27)</w:t>
            </w:r>
          </w:p>
        </w:tc>
        <w:tc>
          <w:tcPr>
            <w:tcW w:type="dxa" w:w="2160"/>
          </w:tcPr>
          <w:p>
            <w:r>
              <w:rPr>
                <w:rFonts w:ascii="Calibri" w:hAnsi="Calibri"/>
                <w:sz w:val="22"/>
              </w:rPr>
              <w:t>Peers also investing heavily in capacity; FCF below guidance midpoint is industry-wide, not LMT-specific</w:t>
            </w:r>
          </w:p>
        </w:tc>
      </w:tr>
      <w:tr>
        <w:tc>
          <w:tcPr>
            <w:tcW w:type="dxa" w:w="2160"/>
          </w:tcPr>
          <w:p>
            <w:r>
              <w:rPr>
                <w:rFonts w:ascii="Calibri" w:hAnsi="Calibri"/>
                <w:sz w:val="22"/>
              </w:rPr>
              <w:t>Space margin pressure</w:t>
            </w:r>
          </w:p>
        </w:tc>
        <w:tc>
          <w:tcPr>
            <w:tcW w:type="dxa" w:w="2160"/>
          </w:tcPr>
          <w:p>
            <w:r>
              <w:rPr>
                <w:rFonts w:ascii="Calibri" w:hAnsi="Calibri"/>
                <w:b/>
                <w:color w:val="E5484D"/>
                <w:sz w:val="22"/>
              </w:rPr>
              <w:t>Watch</w:t>
            </w:r>
          </w:p>
        </w:tc>
        <w:tc>
          <w:tcPr>
            <w:tcW w:type="dxa" w:w="2160"/>
          </w:tcPr>
          <w:p>
            <w:r>
              <w:rPr>
                <w:rFonts w:ascii="Calibri" w:hAnsi="Calibri"/>
                <w:sz w:val="22"/>
              </w:rPr>
              <w:t>NOC Q2 earnings (Jul 21)</w:t>
            </w:r>
          </w:p>
        </w:tc>
        <w:tc>
          <w:tcPr>
            <w:tcW w:type="dxa" w:w="2160"/>
          </w:tcPr>
          <w:p>
            <w:r>
              <w:rPr>
                <w:rFonts w:ascii="Calibri" w:hAnsi="Calibri"/>
                <w:sz w:val="22"/>
              </w:rPr>
              <w:t>NOC Space margin lowered due to EAC adjustments; watch for similar risk on LMT's NGI or FBM programs in Q2</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(Form 4 codes P/S) were identified for LMT in the April 23 – July 22, 2026 window. The absence of insider selling is a mild positive signal — no insiders are taking advantage of any price recovery to exit — but the absence of buying is also notable given the stock's underperformance since Q1. Nothing stands out as a meaningful signal either way.</w:t>
      </w:r>
    </w:p>
    <w:p>
      <w:r>
        <w:rPr>
          <w:rFonts w:ascii="Calibri" w:hAnsi="Calibri"/>
          <w:color w:val="525866"/>
          <w:sz w:val="22"/>
        </w:rPr>
        <w:t>Data source: SEC Form 4 filings database queried for LMT, April 23 – July 22, 2026, transaction codes P (open-market purchase) and S (open-market sale). No transactions matching these criteria were returned. This is consistent with LMT's historical pattern of limited insider open-market activity; executive compensation is primarily delivered through equity grants (code A) and 10b5-1 planned sales, which are not indicative of discretionary conviction.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open-market transactions identified (Apr 23 – Jul 22, 2026)</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discretionary buys or sells filed; no 10b5-1 plan initiations identified in window</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