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uv-earnings-predictions--2026-07-22"/>
    <w:p>
      <w:pPr>
        <w:pStyle w:val="Heading1"/>
      </w:pPr>
      <w:r>
        <w:t xml:space="preserve">LUV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0.62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RASM y/y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~+18.5% vs. cons ~+17.5%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CASM-X y/y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~+3.2% vs. cons ~+3.75%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(reinstatement)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reinstate ~</w:t>
            </w:r>
            <m:oMath>
              <m:r>
                <m:t>3.50</m:t>
              </m:r>
              <m:r>
                <m:rPr>
                  <m:sty m:val="p"/>
                </m:rPr>
                <m:t>−</m:t>
              </m:r>
              <m:r>
                <m:t>4.00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3.80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0.48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RASM y/y (full run-rate)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~+8% vs. cons ~+6%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capacity / H2 ASMs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~+2% FY / ~+3% H2 vs. cons ~+2%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LUV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Fundamentally strong (fuel below the</w:t>
            </w:r>
            <w:r>
              <w:t xml:space="preserve"> </w:t>
            </w:r>
            <m:oMath>
              <m:r>
                <m:t>4.10</m:t>
              </m:r>
              <m:r>
                <m:rPr>
                  <m:sty m:val="p"/>
                </m:rPr>
                <m:t>−</m:t>
              </m:r>
              <m:r>
                <m:t>4.15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i</m:t>
              </m:r>
              <m:r>
                <m:t>n</m:t>
              </m:r>
              <m:r>
                <m:t>d</m:t>
              </m:r>
              <m:r>
                <m:t>u</m:t>
              </m:r>
              <m:r>
                <m:t>s</m:t>
              </m:r>
              <m:r>
                <m:t>t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l</m:t>
              </m:r>
              <m:r>
                <m:t>e</m:t>
              </m:r>
              <m:r>
                <m:t>a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t>R</m:t>
              </m:r>
              <m:r>
                <m:t>A</m:t>
              </m:r>
              <m:r>
                <m:t>S</m:t>
              </m:r>
              <m:r>
                <m:t>M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t</m:t>
              </m:r>
              <m:r>
                <m:t>r</m:t>
              </m:r>
              <m:r>
                <m:t>u</m:t>
              </m:r>
              <m:r>
                <m:t>c</m:t>
              </m:r>
              <m:r>
                <m:t>t</m:t>
              </m:r>
              <m:r>
                <m:t>u</m:t>
              </m:r>
              <m:r>
                <m:t>r</m:t>
              </m:r>
              <m:r>
                <m:t>a</m:t>
              </m:r>
              <m:r>
                <m:t>l</m:t>
              </m:r>
              <m:r>
                <m:t>C</m:t>
              </m:r>
              <m:r>
                <m:t>A</m:t>
              </m:r>
              <m:r>
                <m:t>S</m:t>
              </m:r>
              <m:r>
                <m:t>M</m:t>
              </m:r>
              <m:r>
                <m:rPr>
                  <m:sty m:val="p"/>
                </m:rPr>
                <m:t>−</m:t>
              </m:r>
              <m:r>
                <m:t>X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s</m:t>
              </m:r>
              <m:r>
                <m:t>a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d</m:t>
              </m:r>
              <m:r>
                <m:t>a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t>p</m:t>
              </m:r>
              <m:r>
                <m:t>o</m:t>
              </m:r>
              <m:r>
                <m:t>p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e</m:t>
              </m:r>
              <m:r>
                <m:t>t</m:t>
              </m:r>
              <m:r>
                <m:t>u</m:t>
              </m:r>
              <m:r>
                <m:t>p</m:t>
              </m:r>
              <m:r>
                <m:t>i</m:t>
              </m:r>
              <m:r>
                <m:t>s</m:t>
              </m:r>
              <m:r>
                <m:t>a</m:t>
              </m:r>
              <m:r>
                <m:t>s</m:t>
              </m:r>
              <m:r>
                <m:t>e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h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n</m:t>
              </m:r>
              <m:r>
                <m:t>e</m:t>
              </m:r>
              <m:r>
                <m:t>w</m:t>
              </m:r>
              <m:r>
                <m:t>s</m:t>
              </m:r>
              <m:r>
                <m:rPr>
                  <m:sty m:val="p"/>
                </m:rPr>
                <m:t>:</m:t>
              </m:r>
              <m:r>
                <m:t>p</m:t>
              </m:r>
              <m:r>
                <m:t>e</m:t>
              </m:r>
              <m:r>
                <m:t>e</m:t>
              </m:r>
              <m:r>
                <m:t>r</m:t>
              </m:r>
              <m:r>
                <m:t>s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rPr>
                  <m:sty m:val="p"/>
                </m:rPr>
                <m:t>(</m:t>
              </m:r>
              <m:r>
                <m:t>D</m:t>
              </m:r>
              <m:r>
                <m:t>A</m:t>
              </m:r>
              <m:r>
                <m:t>L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92-&gt;</w:t>
            </w:r>
            <m:oMath>
              <m:r>
                <m:t>85</m:t>
              </m:r>
              <m:r>
                <m:rPr>
                  <m:sty m:val="p"/>
                </m:rPr>
                <m:t>,</m:t>
              </m:r>
              <m:r>
                <m:t>U</m:t>
              </m:r>
              <m:r>
                <m:t>A</m:t>
              </m:r>
              <m:r>
                <m:t>L</m:t>
              </m:r>
              <m:r>
                <m:t> </m:t>
              </m:r>
            </m:oMath>
            <w:r>
              <w:t xml:space="preserve">136-&gt;</w:t>
            </w:r>
            <m:oMath>
              <m:r>
                <m:t>118</m:t>
              </m:r>
              <m:r>
                <m:t>t</m:t>
              </m:r>
              <m:r>
                <m:t>h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J</m:t>
              </m:r>
              <m:r>
                <m:t>u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)</m:t>
              </m:r>
              <m:r>
                <m:t>a</m:t>
              </m:r>
              <m:r>
                <m:t>l</m:t>
              </m:r>
              <m:r>
                <m:t>l</m:t>
              </m:r>
              <m:r>
                <m:t>r</m:t>
              </m:r>
              <m:r>
                <m:t>o</m:t>
              </m:r>
              <m:r>
                <m:t>l</m:t>
              </m:r>
              <m:r>
                <m:t>l</m:t>
              </m:r>
              <m:r>
                <m:t>e</m:t>
              </m:r>
              <m:r>
                <m:t>d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L</m:t>
              </m:r>
              <m:r>
                <m:t>U</m:t>
              </m:r>
              <m:r>
                <m:t>V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d</m:t>
              </m:r>
              <m:r>
                <m:t>y</m:t>
              </m:r>
              <m:r>
                <m:t>r</m:t>
              </m:r>
              <m:r>
                <m:t>o</m:t>
              </m:r>
              <m:r>
                <m:t>u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r</m:t>
              </m:r>
              <m:r>
                <m:t>i</m:t>
              </m:r>
              <m:r>
                <m:t>p</m:t>
              </m:r>
              <m:r>
                <m:t>p</m:t>
              </m:r>
              <m:r>
                <m:t>e</m:t>
              </m:r>
              <m:r>
                <m:t>d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48.7 with fuel relief priced in. Out-period math is the drag — implied H2 capacity growth near ~3% into a 'supermajors/capacity-discipline' narrative, plus initiative benefits lapping toward full run-rate, pulls forward estimates and sentiment lower even after a headline beat; a continued FY26 guide punt would accelerate the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2026-07-22T01:00:57Z</dcterms:created>
  <dcterms:modified xsi:type="dcterms:W3CDTF">2026-07-22T01:00:57Z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