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LUV thoroughly before writing the preview. Let me start by gathering recent filings, transcripts, and news.Let me read the most recent earnings materials and check for recent news and any guidance updates.Let me gather recent news, stock price performance, and check for any recent 8-K filings or press releases ahead of the print.Let me check the earnings-date press release and recent industry/peer read-throughs (Delta/United typically report first).Let me read the key peer read-throughs (Delta and United reported already) and the "priced in" airline piece to frame the setup.I have strong material. Let me get the prior-year Q2 comp and current consensus for context.I now have everything I need. Here's the earnings preview.</w:t>
      </w:r>
    </w:p>
    <w:p>
      <w:r>
        <w:pict>
          <v:rect style="width:0;height:1.5pt" o:hralign="center" o:hrstd="t" o:hr="t"/>
        </w:pict>
      </w:r>
    </w:p>
    <w:bookmarkStart w:id="19" w:name="Xf6e3d2bd131fc5e9012f6afdb3da33d2a17a40d"/>
    <w:p>
      <w:pPr>
        <w:pStyle w:val="Heading1"/>
      </w:pPr>
      <w:r>
        <w:t xml:space="preserve">Southwest Airlines (LUV) — Q2 2026 Earnings Preview</w:t>
      </w:r>
    </w:p>
    <w:p>
      <w:pPr>
        <w:pStyle w:val="FirstParagraph"/>
      </w:pPr>
      <w:r>
        <w:rPr>
          <w:b/>
          <w:bCs/>
        </w:rPr>
        <w:t xml:space="preserve">Event:</w:t>
      </w:r>
      <w:r>
        <w:t xml:space="preserve"> </w:t>
      </w:r>
      <w:r>
        <w:t xml:space="preserve">2026 Q2 Earnings Call |</w:t>
      </w:r>
      <w:r>
        <w:t xml:space="preserve"> </w:t>
      </w:r>
      <w:r>
        <w:rPr>
          <w:b/>
          <w:bCs/>
        </w:rPr>
        <w:t xml:space="preserve">Results due:</w:t>
      </w:r>
      <w:r>
        <w:t xml:space="preserve"> </w:t>
      </w:r>
      <w:r>
        <w:t xml:space="preserve">after the close July 22, 2026 (management call 10:00 a.m. ET, July 23) |</w:t>
      </w:r>
      <w:r>
        <w:t xml:space="preserve"> </w:t>
      </w:r>
      <w:r>
        <w:rPr>
          <w:b/>
          <w:bCs/>
        </w:rPr>
        <w:t xml:space="preserve">Price (7/21/26):</w:t>
      </w:r>
      <w:r>
        <w:t xml:space="preserve"> </w:t>
      </w:r>
      <w:r>
        <w:t xml:space="preserve">~$48.70</w:t>
      </w:r>
    </w:p>
    <w:p>
      <w:r>
        <w:pict>
          <v:rect style="width:0;height:1.5pt" o:hralign="center" o:hrstd="t" o:hr="t"/>
        </w:pict>
      </w:r>
    </w:p>
    <w:bookmarkStart w:id="9" w:name="the-one-sentence-setup"/>
    <w:p>
      <w:pPr>
        <w:pStyle w:val="Heading2"/>
      </w:pPr>
      <w:r>
        <w:t xml:space="preserve">The one-sentence setup</w:t>
      </w:r>
    </w:p>
    <w:p>
      <w:pPr>
        <w:pStyle w:val="FirstParagraph"/>
      </w:pPr>
      <w:r>
        <w:t xml:space="preserve">This is the</w:t>
      </w:r>
      <w:r>
        <w:t xml:space="preserve"> </w:t>
      </w:r>
      <w:r>
        <w:rPr>
          <w:b/>
          <w:bCs/>
        </w:rPr>
        <w:t xml:space="preserve">first full quarter with all of Southwest's transformation initiatives live</w:t>
      </w:r>
      <w:r>
        <w:t xml:space="preserve"> </w:t>
      </w:r>
      <w:r>
        <w:t xml:space="preserve">(assigned/extra-legroom seating launched Jan 27, plus bag fees, basic economy, and re-priced Rapid Rewards) — so the revenue engine should look spectacular, but the print will be</w:t>
      </w:r>
      <w:r>
        <w:t xml:space="preserve"> </w:t>
      </w:r>
      <w:r>
        <w:rPr>
          <w:b/>
          <w:bCs/>
        </w:rPr>
        <w:t xml:space="preserve">dominated by a single swing variable: fuel</w:t>
      </w:r>
      <w:r>
        <w:t xml:space="preserve">, which is why management refused to reaffirm its full-year number in April. With peers (Delta, United) having already reported strong quarters and</w:t>
      </w:r>
      <w:r>
        <w:t xml:space="preserve"> </w:t>
      </w:r>
      <w:r>
        <w:rPr>
          <w:i/>
          <w:iCs/>
        </w:rPr>
        <w:t xml:space="preserve">raised/reaffirmed</w:t>
      </w:r>
      <w:r>
        <w:t xml:space="preserve"> </w:t>
      </w:r>
      <w:r>
        <w:t xml:space="preserve">guidance, the bar is set on demand — the question is whether Southwest beats a fuel-conservative EPS guide and finally re-anchors its 2026 outlook.</w:t>
      </w:r>
    </w:p>
    <w:p>
      <w:r>
        <w:pict>
          <v:rect style="width:0;height:1.5pt" o:hralign="center" o:hrstd="t" o:hr="t"/>
        </w:pict>
      </w:r>
    </w:p>
    <w:bookmarkEnd w:id="9"/>
    <w:bookmarkStart w:id="10" w:name="X0a28706d631f61c4757f7072c209ea1086678f4"/>
    <w:p>
      <w:pPr>
        <w:pStyle w:val="Heading2"/>
      </w:pPr>
      <w:r>
        <w:t xml:space="preserve">1. What management guided for Q2 (from the April 22 release / April 23 call)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Q2 2025 Actual (comp)</w:t>
            </w:r>
          </w:p>
        </w:tc>
      </w:tr>
      <w:tr>
        <w:tc>
          <w:tcPr/>
          <w:p>
            <w:pPr>
              <w:pStyle w:val="Compact"/>
            </w:pPr>
            <w:r>
              <w:rPr>
                <w:b/>
                <w:bCs/>
              </w:rPr>
              <w:t xml:space="preserve">Adjusted EPS</w:t>
            </w:r>
          </w:p>
        </w:tc>
        <w:tc>
          <w:tcPr/>
          <w:p>
            <w:pPr>
              <w:pStyle w:val="Compact"/>
            </w:pPr>
            <w:r>
              <w:rPr>
                <w:b/>
                <w:bCs/>
              </w:rPr>
              <w:t xml:space="preserve">$0.35 – $0.65</w:t>
            </w:r>
          </w:p>
        </w:tc>
        <w:tc>
          <w:tcPr/>
          <w:p>
            <w:pPr>
              <w:pStyle w:val="Compact"/>
            </w:pPr>
            <w:r>
              <w:t xml:space="preserve">$0.43</w:t>
            </w:r>
          </w:p>
        </w:tc>
      </w:tr>
      <w:tr>
        <w:tc>
          <w:tcPr/>
          <w:p>
            <w:pPr>
              <w:pStyle w:val="Compact"/>
            </w:pPr>
            <w:r>
              <w:rPr>
                <w:b/>
                <w:bCs/>
              </w:rPr>
              <w:t xml:space="preserve">RASM (unit revenue), y/y</w:t>
            </w:r>
          </w:p>
        </w:tc>
        <w:tc>
          <w:tcPr/>
          <w:p>
            <w:pPr>
              <w:pStyle w:val="Compact"/>
            </w:pPr>
            <w:r>
              <w:rPr>
                <w:b/>
                <w:bCs/>
              </w:rPr>
              <w:t xml:space="preserve">+16.5% to +18.5%</w:t>
            </w:r>
          </w:p>
        </w:tc>
        <w:tc>
          <w:tcPr/>
          <w:p>
            <w:pPr>
              <w:pStyle w:val="Compact"/>
            </w:pPr>
            <w:r>
              <w:t xml:space="preserve">–3.1%</w:t>
            </w:r>
          </w:p>
        </w:tc>
      </w:tr>
      <w:tr>
        <w:tc>
          <w:tcPr/>
          <w:p>
            <w:pPr>
              <w:pStyle w:val="Compact"/>
            </w:pPr>
            <w:r>
              <w:rPr>
                <w:b/>
                <w:bCs/>
              </w:rPr>
              <w:t xml:space="preserve">ASMs (capacity), y/y</w:t>
            </w:r>
          </w:p>
        </w:tc>
        <w:tc>
          <w:tcPr/>
          <w:p>
            <w:pPr>
              <w:pStyle w:val="Compact"/>
            </w:pPr>
            <w:r>
              <w:t xml:space="preserve">Flat to +1.0%</w:t>
            </w:r>
          </w:p>
        </w:tc>
        <w:tc>
          <w:tcPr/>
          <w:p>
            <w:pPr>
              <w:pStyle w:val="Compact"/>
            </w:pPr>
            <w:r>
              <w:t xml:space="preserve">+1.6%</w:t>
            </w:r>
          </w:p>
        </w:tc>
      </w:tr>
      <w:tr>
        <w:tc>
          <w:tcPr/>
          <w:p>
            <w:pPr>
              <w:pStyle w:val="Compact"/>
            </w:pPr>
            <w:r>
              <w:rPr>
                <w:b/>
                <w:bCs/>
              </w:rPr>
              <w:t xml:space="preserve">CASM-X, y/y</w:t>
            </w:r>
          </w:p>
        </w:tc>
        <w:tc>
          <w:tcPr/>
          <w:p>
            <w:pPr>
              <w:pStyle w:val="Compact"/>
            </w:pPr>
            <w:r>
              <w:rPr>
                <w:b/>
                <w:bCs/>
              </w:rPr>
              <w:t xml:space="preserve">+3.5% to +4.0%</w:t>
            </w:r>
            <w:r>
              <w:t xml:space="preserve"> </w:t>
            </w:r>
            <w:r>
              <w:t xml:space="preserve">(incl. ~1.2 pt from 737-700 seat removal)</w:t>
            </w:r>
          </w:p>
        </w:tc>
        <w:tc>
          <w:tcPr/>
          <w:p>
            <w:pPr>
              <w:pStyle w:val="Compact"/>
            </w:pPr>
            <w:r>
              <w:t xml:space="preserve">+4.7%</w:t>
            </w:r>
          </w:p>
        </w:tc>
      </w:tr>
      <w:tr>
        <w:tc>
          <w:tcPr/>
          <w:p>
            <w:pPr>
              <w:pStyle w:val="Compact"/>
            </w:pPr>
            <w:r>
              <w:rPr>
                <w:b/>
                <w:bCs/>
              </w:rPr>
              <w:t xml:space="preserve">Fuel $/gal</w:t>
            </w:r>
          </w:p>
        </w:tc>
        <w:tc>
          <w:tcPr/>
          <w:p>
            <w:pPr>
              <w:pStyle w:val="Compact"/>
            </w:pPr>
            <w:r>
              <w:rPr>
                <w:b/>
                <w:bCs/>
              </w:rPr>
              <w:t xml:space="preserve">$4.10 – $4.15</w:t>
            </w:r>
            <w:r>
              <w:t xml:space="preserve"> </w:t>
            </w:r>
            <w:r>
              <w:t xml:space="preserve">(fwd curve 4/16)</w:t>
            </w:r>
          </w:p>
        </w:tc>
        <w:tc>
          <w:tcPr/>
          <w:p>
            <w:pPr>
              <w:pStyle w:val="Compact"/>
            </w:pPr>
            <w:r>
              <w:t xml:space="preserve">$2.32</w:t>
            </w:r>
          </w:p>
        </w:tc>
      </w:tr>
    </w:tbl>
    <w:p>
      <w:pPr>
        <w:pStyle w:val="BodyText"/>
      </w:pPr>
      <w:r>
        <w:t xml:space="preserve">Two things jump out:</w:t>
      </w:r>
    </w:p>
    <w:p>
      <w:pPr>
        <w:pStyle w:val="Compact"/>
        <w:numPr>
          <w:ilvl w:val="0"/>
          <w:numId w:val="1001"/>
        </w:numPr>
      </w:pPr>
      <w:r>
        <w:t xml:space="preserve">The</w:t>
      </w:r>
      <w:r>
        <w:t xml:space="preserve"> </w:t>
      </w:r>
      <w:r>
        <w:rPr>
          <w:b/>
          <w:bCs/>
        </w:rPr>
        <w:t xml:space="preserve">RASM guide (+16.5–18.5%)</w:t>
      </w:r>
      <w:r>
        <w:t xml:space="preserve"> </w:t>
      </w:r>
      <w:r>
        <w:t xml:space="preserve">is enormous and management said it expects it to be</w:t>
      </w:r>
      <w:r>
        <w:t xml:space="preserve"> </w:t>
      </w:r>
      <w:r>
        <w:rPr>
          <w:b/>
          <w:bCs/>
        </w:rPr>
        <w:t xml:space="preserve">"industry-leading by a wide margin."</w:t>
      </w:r>
      <w:r>
        <w:t xml:space="preserve"> </w:t>
      </w:r>
      <w:r>
        <w:t xml:space="preserve">It reflects the full initiative ramp plus a "constructive" fare environment. For reference, that maps to roughly ~18¢ RASM vs. 15.41¢ a year ago.</w:t>
      </w:r>
    </w:p>
    <w:p>
      <w:pPr>
        <w:pStyle w:val="Compact"/>
        <w:numPr>
          <w:ilvl w:val="0"/>
          <w:numId w:val="1001"/>
        </w:numPr>
      </w:pPr>
      <w:r>
        <w:t xml:space="preserve">Despite that revenue surge, the</w:t>
      </w:r>
      <w:r>
        <w:t xml:space="preserve"> </w:t>
      </w:r>
      <w:r>
        <w:rPr>
          <w:b/>
          <w:bCs/>
        </w:rPr>
        <w:t xml:space="preserve">EPS guide midpoint ($0.50) is only modestly above last year's</w:t>
      </w:r>
      <w:r>
        <w:rPr>
          <w:b/>
          <w:bCs/>
        </w:rPr>
        <w:t xml:space="preserve"> </w:t>
      </w:r>
      <m:oMath>
        <m:r>
          <m:t>0.43</m:t>
        </m:r>
        <m:r>
          <m:rPr>
            <m:sty m:val="p"/>
          </m:rPr>
          <m:t>*</m:t>
        </m:r>
        <m:r>
          <m:rPr>
            <m:sty m:val="p"/>
          </m:rPr>
          <m:t>*</m:t>
        </m:r>
        <m:r>
          <m:rPr>
            <m:sty m:val="p"/>
          </m:rPr>
          <m:t>—</m:t>
        </m:r>
        <m:r>
          <m:t>b</m:t>
        </m:r>
        <m:r>
          <m:t>e</m:t>
        </m:r>
        <m:r>
          <m:t>c</m:t>
        </m:r>
        <m:r>
          <m:t>a</m:t>
        </m:r>
        <m:r>
          <m:t>u</m:t>
        </m:r>
        <m:r>
          <m:t>s</m:t>
        </m:r>
        <m:r>
          <m:t>e</m:t>
        </m:r>
        <m:r>
          <m:t>g</m:t>
        </m:r>
        <m:r>
          <m:t>u</m:t>
        </m:r>
        <m:r>
          <m:t>i</m:t>
        </m:r>
        <m:r>
          <m:t>d</m:t>
        </m:r>
        <m:r>
          <m:t>e</m:t>
        </m:r>
        <m:r>
          <m:t>d</m:t>
        </m:r>
        <m:r>
          <m:t>f</m:t>
        </m:r>
        <m:r>
          <m:t>u</m:t>
        </m:r>
        <m:r>
          <m:t>e</m:t>
        </m:r>
        <m:r>
          <m:t>l</m:t>
        </m:r>
        <m:r>
          <m:t>o</m:t>
        </m:r>
        <m:r>
          <m:t>f</m:t>
        </m:r>
        <m:r>
          <m:t> </m:t>
        </m:r>
      </m:oMath>
      <w:r>
        <w:rPr>
          <w:b/>
          <w:bCs/>
        </w:rPr>
        <w:t xml:space="preserve">4.12 is nearly</w:t>
      </w:r>
      <w:r>
        <w:rPr>
          <w:b/>
          <w:bCs/>
        </w:rPr>
        <w:t xml:space="preserve"> </w:t>
      </w:r>
      <w:r>
        <w:rPr>
          <w:b/>
          <w:b/>
          <w:bCs/>
          <w:bCs/>
        </w:rPr>
        <w:t xml:space="preserve">double</w:t>
      </w:r>
      <w:r>
        <w:rPr>
          <w:b/>
          <w:bCs/>
        </w:rPr>
        <w:t xml:space="preserve"> </w:t>
      </w:r>
      <w:r>
        <w:rPr>
          <w:b/>
          <w:bCs/>
        </w:rPr>
        <w:t xml:space="preserve">the</w:t>
      </w:r>
      <w:r>
        <w:rPr>
          <w:b/>
          <w:bCs/>
        </w:rPr>
        <w:t xml:space="preserve"> </w:t>
      </w:r>
      <m:oMath>
        <m:r>
          <m:t>2.32</m:t>
        </m:r>
        <m:r>
          <m:t>S</m:t>
        </m:r>
        <m:r>
          <m:t>o</m:t>
        </m:r>
        <m:r>
          <m:t>u</m:t>
        </m:r>
        <m:r>
          <m:t>t</m:t>
        </m:r>
        <m:r>
          <m:t>h</m:t>
        </m:r>
        <m:r>
          <m:t>w</m:t>
        </m:r>
        <m:r>
          <m:t>e</m:t>
        </m:r>
        <m:r>
          <m:t>s</m:t>
        </m:r>
        <m:r>
          <m:t>t</m:t>
        </m:r>
        <m:r>
          <m:t>p</m:t>
        </m:r>
        <m:r>
          <m:t>a</m:t>
        </m:r>
        <m:r>
          <m:t>i</m:t>
        </m:r>
        <m:r>
          <m:t>d</m:t>
        </m:r>
        <m:r>
          <m:t>i</m:t>
        </m:r>
        <m:r>
          <m:t>n</m:t>
        </m:r>
        <m:r>
          <m:t>Q</m:t>
        </m:r>
        <m:r>
          <m:t>2</m:t>
        </m:r>
        <m:r>
          <m:t>2025</m:t>
        </m:r>
        <m:r>
          <m:rPr>
            <m:sty m:val="p"/>
          </m:rPr>
          <m:t>.</m:t>
        </m:r>
        <m:r>
          <m:t>O</m:t>
        </m:r>
        <m:r>
          <m:t>n</m:t>
        </m:r>
        <m:r>
          <m:t>t</m:t>
        </m:r>
        <m:r>
          <m:t>h</m:t>
        </m:r>
        <m:r>
          <m:t>e</m:t>
        </m:r>
        <m:r>
          <m:t>Q</m:t>
        </m:r>
        <m:r>
          <m:t>1</m:t>
        </m:r>
        <m:r>
          <m:t>c</m:t>
        </m:r>
        <m:r>
          <m:t>a</m:t>
        </m:r>
        <m:r>
          <m:t>l</m:t>
        </m:r>
        <m:r>
          <m:t>l</m:t>
        </m:r>
        <m:r>
          <m:rPr>
            <m:sty m:val="p"/>
          </m:rPr>
          <m:t>,</m:t>
        </m:r>
        <m:r>
          <m:t>B</m:t>
        </m:r>
        <m:r>
          <m:t>o</m:t>
        </m:r>
        <m:r>
          <m:t>b</m:t>
        </m:r>
        <m:r>
          <m:t>J</m:t>
        </m:r>
        <m:r>
          <m:t>o</m:t>
        </m:r>
        <m:r>
          <m:t>r</m:t>
        </m:r>
        <m:r>
          <m:t>d</m:t>
        </m:r>
        <m:r>
          <m:t>a</m:t>
        </m:r>
        <m:r>
          <m:t>n</m:t>
        </m:r>
        <m:r>
          <m:t>s</m:t>
        </m:r>
        <m:r>
          <m:t>i</m:t>
        </m:r>
        <m:r>
          <m:t>z</m:t>
        </m:r>
        <m:r>
          <m:t>e</m:t>
        </m:r>
        <m:r>
          <m:t>d</m:t>
        </m:r>
        <m:r>
          <m:t>t</m:t>
        </m:r>
        <m:r>
          <m:t>h</m:t>
        </m:r>
        <m:r>
          <m:t>e</m:t>
        </m:r>
        <m:r>
          <m:t>Q</m:t>
        </m:r>
        <m:r>
          <m:t>2</m:t>
        </m:r>
        <m:r>
          <m:t>f</m:t>
        </m:r>
        <m:r>
          <m:t>u</m:t>
        </m:r>
        <m:r>
          <m:t>e</m:t>
        </m:r>
        <m:r>
          <m:t>l</m:t>
        </m:r>
        <m:r>
          <m:t>h</m:t>
        </m:r>
        <m:r>
          <m:t>i</m:t>
        </m:r>
        <m:r>
          <m:t>t</m:t>
        </m:r>
        <m:r>
          <m:t>a</m:t>
        </m:r>
        <m:r>
          <m:t>t</m:t>
        </m:r>
        <m:r>
          <m:t> </m:t>
        </m:r>
        <m:r>
          <m:rPr>
            <m:sty m:val="p"/>
          </m:rPr>
          <m:t>*</m:t>
        </m:r>
        <m:r>
          <m:rPr>
            <m:sty m:val="p"/>
          </m:rPr>
          <m:t>*</m:t>
        </m:r>
      </m:oMath>
      <w:r>
        <w:rPr>
          <w:b/>
          <w:bCs/>
        </w:rPr>
        <w:t xml:space="preserve">1 billion / ~10 margin points</w:t>
      </w:r>
      <w:r>
        <w:t xml:space="preserve"> </w:t>
      </w:r>
      <w:r>
        <w:t xml:space="preserve">y/y. In short: initiatives vs. fuel is the entire story.</w:t>
      </w:r>
    </w:p>
    <w:p>
      <w:pPr>
        <w:pStyle w:val="FirstParagraph"/>
      </w:pPr>
      <w:r>
        <w:rPr>
          <w:b/>
          <w:bCs/>
        </w:rPr>
        <w:t xml:space="preserve">Where consensus sits:</w:t>
      </w:r>
      <w:r>
        <w:t xml:space="preserve"> </w:t>
      </w:r>
      <w:r>
        <w:t xml:space="preserve">The Street generally clusters near the middle of that</w:t>
      </w:r>
      <w:r>
        <w:t xml:space="preserve"> </w:t>
      </w:r>
      <m:oMath>
        <m:r>
          <m:t>0.35</m:t>
        </m:r>
        <m:r>
          <m:rPr>
            <m:sty m:val="p"/>
          </m:rPr>
          <m:t>–</m:t>
        </m:r>
      </m:oMath>
      <w:r>
        <w:t xml:space="preserve">0.65 band. Given how wide it is, the "beat/miss" narrative will hinge less on the headline EPS and more on RASM upside and the fuel outcome (below).</w:t>
      </w:r>
    </w:p>
    <w:p>
      <w:r>
        <w:pict>
          <v:rect style="width:0;height:1.5pt" o:hralign="center" o:hrstd="t" o:hr="t"/>
        </w:pict>
      </w:r>
    </w:p>
    <w:bookmarkEnd w:id="10"/>
    <w:bookmarkStart w:id="11" w:name="X8882806afacc1954574b70d148a0d20e8e4c711"/>
    <w:p>
      <w:pPr>
        <w:pStyle w:val="Heading2"/>
      </w:pPr>
      <w:r>
        <w:t xml:space="preserve">2. The swing factor: fuel likely came in</w:t>
      </w:r>
      <w:r>
        <w:t xml:space="preserve"> </w:t>
      </w:r>
      <w:r>
        <w:rPr>
          <w:i/>
          <w:iCs/>
        </w:rPr>
        <w:t xml:space="preserve">below</w:t>
      </w:r>
      <w:r>
        <w:t xml:space="preserve"> </w:t>
      </w:r>
      <w:r>
        <w:t xml:space="preserve">the guide</w:t>
      </w:r>
    </w:p>
    <w:p>
      <w:pPr>
        <w:pStyle w:val="FirstParagraph"/>
      </w:pPr>
      <w:r>
        <w:t xml:space="preserve">The</w:t>
      </w:r>
      <w:r>
        <w:t xml:space="preserve"> </w:t>
      </w:r>
      <m:oMath>
        <m:r>
          <m:t>4.10</m:t>
        </m:r>
        <m:r>
          <m:rPr>
            <m:sty m:val="p"/>
          </m:rPr>
          <m:t>–</m:t>
        </m:r>
      </m:oMath>
      <w:r>
        <w:t xml:space="preserve">4.15 assumption was struck on the April 16 forward curve, at the height of the Iran-war jet-fuel spike (spot jet fuel peaked ~</w:t>
      </w:r>
      <m:oMath>
        <m:r>
          <m:t>4.88</m:t>
        </m:r>
        <m:r>
          <m:t>i</m:t>
        </m:r>
        <m:r>
          <m:t>n</m:t>
        </m:r>
        <m:r>
          <m:t>e</m:t>
        </m:r>
        <m:r>
          <m:t>a</m:t>
        </m:r>
        <m:r>
          <m:t>r</m:t>
        </m:r>
        <m:r>
          <m:t>l</m:t>
        </m:r>
        <m:r>
          <m:t>y</m:t>
        </m:r>
        <m:r>
          <m:t>A</m:t>
        </m:r>
        <m:r>
          <m:t>p</m:t>
        </m:r>
        <m:r>
          <m:t>r</m:t>
        </m:r>
        <m:r>
          <m:t>i</m:t>
        </m:r>
        <m:r>
          <m:t>l</m:t>
        </m:r>
        <m:r>
          <m:rPr>
            <m:sty m:val="p"/>
          </m:rPr>
          <m:t>)</m:t>
        </m:r>
        <m:r>
          <m:rPr>
            <m:sty m:val="p"/>
          </m:rPr>
          <m:t>.</m:t>
        </m:r>
        <m:r>
          <m:t>F</m:t>
        </m:r>
        <m:r>
          <m:t>u</m:t>
        </m:r>
        <m:r>
          <m:t>e</m:t>
        </m:r>
        <m:r>
          <m:t>l</m:t>
        </m:r>
        <m:r>
          <m:t>t</m:t>
        </m:r>
        <m:r>
          <m:t>h</m:t>
        </m:r>
        <m:r>
          <m:t>e</m:t>
        </m:r>
        <m:r>
          <m:t>n</m:t>
        </m:r>
        <m:r>
          <m:rPr>
            <m:sty m:val="p"/>
          </m:rPr>
          <m:t>*</m:t>
        </m:r>
        <m:r>
          <m:rPr>
            <m:sty m:val="p"/>
          </m:rPr>
          <m:t>*</m:t>
        </m:r>
        <m:r>
          <m:t>r</m:t>
        </m:r>
        <m:r>
          <m:t>e</m:t>
        </m:r>
        <m:r>
          <m:t>t</m:t>
        </m:r>
        <m:r>
          <m:t>r</m:t>
        </m:r>
        <m:r>
          <m:t>e</m:t>
        </m:r>
        <m:r>
          <m:t>a</m:t>
        </m:r>
        <m:r>
          <m:t>t</m:t>
        </m:r>
        <m:r>
          <m:t>e</m:t>
        </m:r>
        <m:r>
          <m:t>d</m:t>
        </m:r>
        <m:r>
          <m:t>t</m:t>
        </m:r>
        <m:r>
          <m:t>h</m:t>
        </m:r>
        <m:r>
          <m:t>r</m:t>
        </m:r>
        <m:r>
          <m:t>o</m:t>
        </m:r>
        <m:r>
          <m:t>u</m:t>
        </m:r>
        <m:r>
          <m:t>g</m:t>
        </m:r>
        <m:r>
          <m:t>h</m:t>
        </m:r>
        <m:r>
          <m:t>M</m:t>
        </m:r>
        <m:r>
          <m:t>a</m:t>
        </m:r>
        <m:r>
          <m:t>y</m:t>
        </m:r>
        <m:r>
          <m:rPr>
            <m:sty m:val="p"/>
          </m:rPr>
          <m:t>–</m:t>
        </m:r>
        <m:r>
          <m:t>J</m:t>
        </m:r>
        <m:r>
          <m:t>u</m:t>
        </m:r>
        <m:r>
          <m:t>n</m:t>
        </m:r>
        <m:r>
          <m:t>e</m:t>
        </m:r>
        <m:r>
          <m:rPr>
            <m:sty m:val="p"/>
          </m:rPr>
          <m:t>*</m:t>
        </m:r>
        <m:r>
          <m:rPr>
            <m:sty m:val="p"/>
          </m:rPr>
          <m:t>*</m:t>
        </m:r>
        <m:r>
          <m:rPr>
            <m:sty m:val="p"/>
          </m:rPr>
          <m:t>—</m:t>
        </m:r>
        <m:r>
          <m:t>D</m:t>
        </m:r>
        <m:r>
          <m:t>e</m:t>
        </m:r>
        <m:r>
          <m:t>l</m:t>
        </m:r>
        <m:r>
          <m:t>t</m:t>
        </m:r>
        <m:r>
          <m:t>a</m:t>
        </m:r>
        <m:r>
          <m:t>n</m:t>
        </m:r>
        <m:r>
          <m:t>o</m:t>
        </m:r>
        <m:r>
          <m:t>t</m:t>
        </m:r>
        <m:r>
          <m:t>e</m:t>
        </m:r>
        <m:r>
          <m:t>d</m:t>
        </m:r>
        <m:r>
          <m:t>s</m:t>
        </m:r>
        <m:r>
          <m:t>p</m:t>
        </m:r>
        <m:r>
          <m:t>o</m:t>
        </m:r>
        <m:r>
          <m:t>t</m:t>
        </m:r>
        <m:r>
          <m:t>j</m:t>
        </m:r>
        <m:r>
          <m:t>e</m:t>
        </m:r>
        <m:r>
          <m:t>t</m:t>
        </m:r>
        <m:r>
          <m:t>f</m:t>
        </m:r>
        <m:r>
          <m:t>u</m:t>
        </m:r>
        <m:r>
          <m:t>e</m:t>
        </m:r>
        <m:r>
          <m:t>l</m:t>
        </m:r>
        <m:r>
          <m:t>w</m:t>
        </m:r>
        <m:r>
          <m:t>a</m:t>
        </m:r>
        <m:r>
          <m:t>s</m:t>
        </m:r>
        <m:r>
          <m:t>b</m:t>
        </m:r>
        <m:r>
          <m:t>a</m:t>
        </m:r>
        <m:r>
          <m:t>c</m:t>
        </m:r>
        <m:r>
          <m:t>k</m:t>
        </m:r>
        <m:r>
          <m:t>n</m:t>
        </m:r>
        <m:r>
          <m:t>e</m:t>
        </m:r>
        <m:r>
          <m:t>a</m:t>
        </m:r>
        <m:r>
          <m:t>r</m:t>
        </m:r>
        <m:r>
          <m:t> </m:t>
        </m:r>
      </m:oMath>
      <w:r>
        <w:t xml:space="preserve">3.18 and set its</w:t>
      </w:r>
      <w:r>
        <w:t xml:space="preserve"> </w:t>
      </w:r>
      <w:r>
        <w:rPr>
          <w:i/>
          <w:iCs/>
        </w:rPr>
        <w:t xml:space="preserve">Q3</w:t>
      </w:r>
      <w:r>
        <w:t xml:space="preserve"> </w:t>
      </w:r>
      <w:r>
        <w:t xml:space="preserve">assumption at ~$3.15. That means Southwest's blended Q2 average likely landed</w:t>
      </w:r>
      <w:r>
        <w:t xml:space="preserve"> </w:t>
      </w:r>
      <w:r>
        <w:rPr>
          <w:b/>
          <w:bCs/>
        </w:rPr>
        <w:t xml:space="preserve">under its guide</w:t>
      </w:r>
      <w:r>
        <w:t xml:space="preserve">, a mechanical tailwind to EPS versus the midpoint.</w:t>
      </w:r>
    </w:p>
    <w:p>
      <w:pPr>
        <w:pStyle w:val="BodyText"/>
      </w:pPr>
      <w:r>
        <w:t xml:space="preserve">This is exactly what happened at the legacy carriers:</w:t>
      </w:r>
    </w:p>
    <w:p>
      <w:pPr>
        <w:pStyle w:val="Compact"/>
        <w:numPr>
          <w:ilvl w:val="0"/>
          <w:numId w:val="1002"/>
        </w:numPr>
      </w:pPr>
      <w:r>
        <w:rPr>
          <w:b/>
          <w:bCs/>
        </w:rPr>
        <w:t xml:space="preserve">Delta</w:t>
      </w:r>
      <w:r>
        <w:t xml:space="preserve"> </w:t>
      </w:r>
      <w:r>
        <w:t xml:space="preserve">beat (</w:t>
      </w:r>
      <m:oMath>
        <m:r>
          <m:t>1.56</m:t>
        </m:r>
        <m:r>
          <m:t>a</m:t>
        </m:r>
        <m:r>
          <m:t>d</m:t>
        </m:r>
        <m:r>
          <m:t>j</m:t>
        </m:r>
        <m:r>
          <m:rPr>
            <m:sty m:val="p"/>
          </m:rPr>
          <m:t>.</m:t>
        </m:r>
        <m:r>
          <m:t>E</m:t>
        </m:r>
        <m:r>
          <m:t>P</m:t>
        </m:r>
        <m:r>
          <m:t>S</m:t>
        </m:r>
        <m:r>
          <m:t>v</m:t>
        </m:r>
        <m:r>
          <m:t>s</m:t>
        </m:r>
        <m:r>
          <m:rPr>
            <m:sty m:val="p"/>
          </m:rPr>
          <m:t>.</m:t>
        </m:r>
        <m:r>
          <m:t> </m:t>
        </m:r>
      </m:oMath>
      <w:r>
        <w:t xml:space="preserve">1.48 expected), said it</w:t>
      </w:r>
      <w:r>
        <w:t xml:space="preserve"> </w:t>
      </w:r>
      <w:r>
        <w:rPr>
          <w:b/>
          <w:bCs/>
        </w:rPr>
        <w:t xml:space="preserve">recovered ~60% of the fuel cost increase</w:t>
      </w:r>
      <w:r>
        <w:t xml:space="preserve"> </w:t>
      </w:r>
      <w:r>
        <w:t xml:space="preserve">in Q2 (faster than historically), and reaffirmed FY26 EPS of</w:t>
      </w:r>
      <w:r>
        <w:t xml:space="preserve"> </w:t>
      </w:r>
      <m:oMath>
        <m:r>
          <m:t>6.50</m:t>
        </m:r>
        <m:r>
          <m:rPr>
            <m:sty m:val="p"/>
          </m:rPr>
          <m:t>–</m:t>
        </m:r>
      </m:oMath>
      <w:r>
        <w:rPr>
          <w:b/>
          <w:bCs/>
        </w:rPr>
        <w:t xml:space="preserve">7.50</w:t>
      </w:r>
      <w:r>
        <w:t xml:space="preserve"> </w:t>
      </w:r>
      <w:r>
        <w:t xml:space="preserve">with a Q3 guide above the Street.</w:t>
      </w:r>
    </w:p>
    <w:p>
      <w:pPr>
        <w:pStyle w:val="Compact"/>
        <w:numPr>
          <w:ilvl w:val="0"/>
          <w:numId w:val="1002"/>
        </w:numPr>
      </w:pPr>
      <w:r>
        <w:rPr>
          <w:b/>
          <w:bCs/>
        </w:rPr>
        <w:t xml:space="preserve">United raised</w:t>
      </w:r>
      <w:r>
        <w:t xml:space="preserve"> </w:t>
      </w:r>
      <w:r>
        <w:t xml:space="preserve">its full-year outlook, framing "a legitimate shot at growing earnings year-over-year" despite a</w:t>
      </w:r>
      <w:r>
        <w:t xml:space="preserve"> </w:t>
      </w:r>
      <w:r>
        <w:rPr>
          <w:b/>
          <w:bCs/>
        </w:rPr>
        <w:t xml:space="preserve">~$6 billion</w:t>
      </w:r>
      <w:r>
        <w:t xml:space="preserve"> </w:t>
      </w:r>
      <w:r>
        <w:t xml:space="preserve">fuel headwind, with</w:t>
      </w:r>
      <w:r>
        <w:t xml:space="preserve"> </w:t>
      </w:r>
      <w:r>
        <w:rPr>
          <w:b/>
          <w:bCs/>
        </w:rPr>
        <w:t xml:space="preserve">corporate demand up ~30% in July</w:t>
      </w:r>
      <w:r>
        <w:t xml:space="preserve"> </w:t>
      </w:r>
      <w:r>
        <w:t xml:space="preserve">and another industry fare increase pushed through that week.</w:t>
      </w:r>
    </w:p>
    <w:p>
      <w:pPr>
        <w:pStyle w:val="FirstParagraph"/>
      </w:pPr>
      <w:r>
        <w:t xml:space="preserve">Read-through: the demand/pricing backdrop that underpins Southwest's aggressive RASM guide has been validated by everyone who's reported.</w:t>
      </w:r>
      <w:r>
        <w:t xml:space="preserve"> </w:t>
      </w:r>
      <w:r>
        <w:rPr>
          <w:b/>
          <w:bCs/>
        </w:rPr>
        <w:t xml:space="preserve">Watch for LUV to land at or above the high end of its EPS range</w:t>
      </w:r>
      <w:r>
        <w:t xml:space="preserve"> </w:t>
      </w:r>
      <w:r>
        <w:t xml:space="preserve">if fuel behaved and RASM held.</w:t>
      </w:r>
    </w:p>
    <w:p>
      <w:r>
        <w:pict>
          <v:rect style="width:0;height:1.5pt" o:hralign="center" o:hrstd="t" o:hr="t"/>
        </w:pict>
      </w:r>
    </w:p>
    <w:bookmarkEnd w:id="11"/>
    <w:bookmarkStart w:id="12" w:name="X9cb8c0b6cf0c0886e693b20052504991f57c6d3"/>
    <w:p>
      <w:pPr>
        <w:pStyle w:val="Heading2"/>
      </w:pPr>
      <w:r>
        <w:t xml:space="preserve">3. The single most important thing to watch: does the FY26 guide come back?</w:t>
      </w:r>
    </w:p>
    <w:p>
      <w:pPr>
        <w:pStyle w:val="FirstParagraph"/>
      </w:pPr>
      <w:r>
        <w:t xml:space="preserve">In April, management explicitly</w:t>
      </w:r>
      <w:r>
        <w:t xml:space="preserve"> </w:t>
      </w:r>
      <w:r>
        <w:rPr>
          <w:b/>
          <w:bCs/>
        </w:rPr>
        <w:t xml:space="preserve">declined to update its ~</w:t>
      </w:r>
      <w:r>
        <w:rPr>
          <w:b/>
          <w:bCs/>
        </w:rPr>
        <w:t xml:space="preserve">$4.00 full-year adjusted EPS target**, saying doing so "would not be productive" given fuel volatility — while insisting **$</w:t>
      </w:r>
      <w:r>
        <w:rPr>
          <w:b/>
          <w:bCs/>
        </w:rPr>
        <w:t xml:space="preserve">4 was "absolutely not off the table"</w:t>
      </w:r>
      <w:r>
        <w:t xml:space="preserve"> </w:t>
      </w:r>
      <w:r>
        <w:t xml:space="preserve">and would require lower fuel and/or stronger revenue. Since then,</w:t>
      </w:r>
      <w:r>
        <w:t xml:space="preserve"> </w:t>
      </w:r>
      <w:r>
        <w:rPr>
          <w:i/>
          <w:iCs/>
        </w:rPr>
        <w:t xml:space="preserve">both</w:t>
      </w:r>
      <w:r>
        <w:t xml:space="preserve"> </w:t>
      </w:r>
      <w:r>
        <w:t xml:space="preserve">of those conditions have improved: fuel has fallen materially and peers confirm robust demand and sticky fares.</w:t>
      </w:r>
    </w:p>
    <w:p>
      <w:pPr>
        <w:pStyle w:val="BodyText"/>
      </w:pPr>
      <w:r>
        <w:t xml:space="preserve">So the key catalyst on July 22–23 is whether Southwest</w:t>
      </w:r>
      <w:r>
        <w:t xml:space="preserve"> </w:t>
      </w:r>
      <w:r>
        <w:rPr>
          <w:b/>
          <w:bCs/>
        </w:rPr>
        <w:t xml:space="preserve">reinstates or updates a full-year number</w:t>
      </w:r>
      <w:r>
        <w:t xml:space="preserve"> </w:t>
      </w:r>
      <w:r>
        <w:t xml:space="preserve">(and/or refreshes the multi-year initiative EBIT target — previously</w:t>
      </w:r>
      <w:r>
        <w:t xml:space="preserve"> </w:t>
      </w:r>
      <w:r>
        <w:rPr>
          <w:b/>
          <w:bCs/>
        </w:rPr>
        <w:t xml:space="preserve">~$4.3B incremental EBIT in 2026</w:t>
      </w:r>
      <w:r>
        <w:t xml:space="preserve">). A credible, reaffirmed/raised FY guide would be the cleanest bull signal; another punt would disappoint even on a good quarter.</w:t>
      </w:r>
    </w:p>
    <w:p>
      <w:r>
        <w:pict>
          <v:rect style="width:0;height:1.5pt" o:hralign="center" o:hrstd="t" o:hr="t"/>
        </w:pict>
      </w:r>
    </w:p>
    <w:bookmarkEnd w:id="12"/>
    <w:bookmarkStart w:id="13" w:name="X68e70ee023b11f485aa099f5f1443eb8204ac03"/>
    <w:p>
      <w:pPr>
        <w:pStyle w:val="Heading2"/>
      </w:pPr>
      <w:r>
        <w:t xml:space="preserve">4. Initiative monetization — proof-of-concept quarter</w:t>
      </w:r>
    </w:p>
    <w:p>
      <w:pPr>
        <w:pStyle w:val="FirstParagraph"/>
      </w:pPr>
      <w:r>
        <w:t xml:space="preserve">Q1 already showed the model working; Q2 is the first</w:t>
      </w:r>
      <w:r>
        <w:t xml:space="preserve"> </w:t>
      </w:r>
      <w:r>
        <w:rPr>
          <w:i/>
          <w:iCs/>
        </w:rPr>
        <w:t xml:space="preserve">full</w:t>
      </w:r>
      <w:r>
        <w:t xml:space="preserve"> </w:t>
      </w:r>
      <w:r>
        <w:t xml:space="preserve">quarter and management said the initiatives don't hit</w:t>
      </w:r>
      <w:r>
        <w:t xml:space="preserve"> </w:t>
      </w:r>
      <w:r>
        <w:rPr>
          <w:b/>
          <w:bCs/>
        </w:rPr>
        <w:t xml:space="preserve">full run-rate until Q3</w:t>
      </w:r>
      <w:r>
        <w:t xml:space="preserve">, so trajectory matters. Q1 markers to watch for continuation/acceleration:</w:t>
      </w:r>
    </w:p>
    <w:p>
      <w:pPr>
        <w:pStyle w:val="Compact"/>
        <w:numPr>
          <w:ilvl w:val="0"/>
          <w:numId w:val="1003"/>
        </w:numPr>
      </w:pPr>
      <w:r>
        <w:rPr>
          <w:b/>
          <w:bCs/>
        </w:rPr>
        <w:t xml:space="preserve">Buy-up mix rose from ~20% (2025) to ~60%</w:t>
      </w:r>
      <w:r>
        <w:t xml:space="preserve"> </w:t>
      </w:r>
      <w:r>
        <w:t xml:space="preserve">of customers upgrading from the base product; ~half of the 11.6% Q1 yield gain came from</w:t>
      </w:r>
      <w:r>
        <w:t xml:space="preserve"> </w:t>
      </w:r>
      <w:r>
        <w:rPr>
          <w:i/>
          <w:iCs/>
        </w:rPr>
        <w:t xml:space="preserve">voluntary</w:t>
      </w:r>
      <w:r>
        <w:t xml:space="preserve"> </w:t>
      </w:r>
      <w:r>
        <w:t xml:space="preserve">buy-up.</w:t>
      </w:r>
    </w:p>
    <w:p>
      <w:pPr>
        <w:pStyle w:val="Compact"/>
        <w:numPr>
          <w:ilvl w:val="0"/>
          <w:numId w:val="1003"/>
        </w:numPr>
      </w:pPr>
      <w:r>
        <w:rPr>
          <w:b/>
          <w:bCs/>
        </w:rPr>
        <w:t xml:space="preserve">Managed corporate revenue +16% in Q1 (+25% in March)</w:t>
      </w:r>
      <w:r>
        <w:t xml:space="preserve"> </w:t>
      </w:r>
      <w:r>
        <w:t xml:space="preserve">— the largest quarter/month in company history; management expects business share gains to keep building on the new product + Starlink.</w:t>
      </w:r>
    </w:p>
    <w:p>
      <w:pPr>
        <w:pStyle w:val="Compact"/>
        <w:numPr>
          <w:ilvl w:val="0"/>
          <w:numId w:val="1003"/>
        </w:numPr>
      </w:pPr>
      <w:r>
        <w:rPr>
          <w:b/>
          <w:bCs/>
        </w:rPr>
        <w:t xml:space="preserve">Rapid Rewards enrollments +37%, tier-status earners +62%</w:t>
      </w:r>
      <w:r>
        <w:t xml:space="preserve">; credit-card remuneration ~+8%, with upside flagged if/when a</w:t>
      </w:r>
      <w:r>
        <w:t xml:space="preserve"> </w:t>
      </w:r>
      <w:r>
        <w:rPr>
          <w:b/>
          <w:bCs/>
        </w:rPr>
        <w:t xml:space="preserve">high-fee premium card</w:t>
      </w:r>
      <w:r>
        <w:t xml:space="preserve"> </w:t>
      </w:r>
      <w:r>
        <w:t xml:space="preserve">launches.</w:t>
      </w:r>
    </w:p>
    <w:p>
      <w:pPr>
        <w:pStyle w:val="Compact"/>
        <w:numPr>
          <w:ilvl w:val="0"/>
          <w:numId w:val="1003"/>
        </w:numPr>
      </w:pPr>
      <w:r>
        <w:rPr>
          <w:b/>
          <w:bCs/>
        </w:rPr>
        <w:t xml:space="preserve">Bag-fee increase</w:t>
      </w:r>
      <w:r>
        <w:t xml:space="preserve"> </w:t>
      </w:r>
      <w:r>
        <w:t xml:space="preserve">and dynamic pricing on stand-alone seats are incremental levers.</w:t>
      </w:r>
    </w:p>
    <w:p>
      <w:pPr>
        <w:pStyle w:val="Compact"/>
        <w:numPr>
          <w:ilvl w:val="0"/>
          <w:numId w:val="1003"/>
        </w:numPr>
      </w:pPr>
      <w:r>
        <w:rPr>
          <w:b/>
          <w:bCs/>
        </w:rPr>
        <w:t xml:space="preserve">Starlink</w:t>
      </w:r>
      <w:r>
        <w:t xml:space="preserve">: first aircraft in service this summer,</w:t>
      </w:r>
      <w:r>
        <w:t xml:space="preserve"> </w:t>
      </w:r>
      <w:r>
        <w:rPr>
          <w:b/>
          <w:bCs/>
        </w:rPr>
        <w:t xml:space="preserve">300+ aircraft by year-end</w:t>
      </w:r>
      <w:r>
        <w:t xml:space="preserve">; ~2/3 of fleet with in-seat power/larger bins by late 2026.</w:t>
      </w:r>
    </w:p>
    <w:p>
      <w:pPr>
        <w:pStyle w:val="FirstParagraph"/>
      </w:pPr>
      <w:r>
        <w:rPr>
          <w:b/>
          <w:bCs/>
        </w:rPr>
        <w:t xml:space="preserve">Watch:</w:t>
      </w:r>
      <w:r>
        <w:t xml:space="preserve"> </w:t>
      </w:r>
      <w:r>
        <w:t xml:space="preserve">the take-rate trend, cash-vs-points mix (management wants more cash), and any lift to the initiative EBIT target.</w:t>
      </w:r>
    </w:p>
    <w:p>
      <w:r>
        <w:pict>
          <v:rect style="width:0;height:1.5pt" o:hralign="center" o:hrstd="t" o:hr="t"/>
        </w:pict>
      </w:r>
    </w:p>
    <w:bookmarkEnd w:id="13"/>
    <w:bookmarkStart w:id="14" w:name="X420dd9ce2892ac03e986576f588b403e982ac13"/>
    <w:p>
      <w:pPr>
        <w:pStyle w:val="Heading2"/>
      </w:pPr>
      <w:r>
        <w:t xml:space="preserve">5. Costs, capacity, and the "H2 capacity" debate</w:t>
      </w:r>
    </w:p>
    <w:p>
      <w:pPr>
        <w:pStyle w:val="Compact"/>
        <w:numPr>
          <w:ilvl w:val="0"/>
          <w:numId w:val="1004"/>
        </w:numPr>
      </w:pPr>
      <w:r>
        <w:rPr>
          <w:b/>
          <w:bCs/>
        </w:rPr>
        <w:t xml:space="preserve">CASM-X:</w:t>
      </w:r>
      <w:r>
        <w:t xml:space="preserve"> </w:t>
      </w:r>
      <w:r>
        <w:t xml:space="preserve">Q1 came in at +2.3% vs. a +3.5% guide — a meaningful beat management insists is</w:t>
      </w:r>
      <w:r>
        <w:t xml:space="preserve"> </w:t>
      </w:r>
      <w:r>
        <w:rPr>
          <w:b/>
          <w:bCs/>
        </w:rPr>
        <w:t xml:space="preserve">structural</w:t>
      </w:r>
      <w:r>
        <w:t xml:space="preserve"> </w:t>
      </w:r>
      <w:r>
        <w:t xml:space="preserve">(headcount efficiency, tech catch-up rolling off, maintenance/fleet optimization as MAX 8s replace 737-700s). Another beat vs. the +3.5–4.0% Q2 guide would reinforce the cost story.</w:t>
      </w:r>
    </w:p>
    <w:p>
      <w:pPr>
        <w:pStyle w:val="Compact"/>
        <w:numPr>
          <w:ilvl w:val="0"/>
          <w:numId w:val="1004"/>
        </w:numPr>
      </w:pPr>
      <w:r>
        <w:rPr>
          <w:b/>
          <w:bCs/>
        </w:rPr>
        <w:t xml:space="preserve">Capacity:</w:t>
      </w:r>
      <w:r>
        <w:t xml:space="preserve"> </w:t>
      </w:r>
      <w:r>
        <w:t xml:space="preserve">FY26 trimmed to</w:t>
      </w:r>
      <w:r>
        <w:t xml:space="preserve"> </w:t>
      </w:r>
      <w:r>
        <w:rPr>
          <w:b/>
          <w:bCs/>
        </w:rPr>
        <w:t xml:space="preserve">~2%</w:t>
      </w:r>
      <w:r>
        <w:t xml:space="preserve"> </w:t>
      </w:r>
      <w:r>
        <w:t xml:space="preserve">(low end of prior 2–3%). Q2 guided flat to +1%.</w:t>
      </w:r>
      <w:r>
        <w:t xml:space="preserve"> </w:t>
      </w:r>
      <w:r>
        <w:rPr>
          <w:b/>
          <w:bCs/>
        </w:rPr>
        <w:t xml:space="preserve">O'Hare and Dulles were suspended in June</w:t>
      </w:r>
      <w:r>
        <w:t xml:space="preserve">, with capacity redeployed to winners (San Diego, Nashville, Orlando). Fleet: ~66 MAX 8 deliveries and ~60 retirements planned for 2026.</w:t>
      </w:r>
    </w:p>
    <w:p>
      <w:pPr>
        <w:pStyle w:val="Compact"/>
        <w:numPr>
          <w:ilvl w:val="0"/>
          <w:numId w:val="1004"/>
        </w:numPr>
      </w:pPr>
      <w:r>
        <w:rPr>
          <w:b/>
          <w:bCs/>
        </w:rPr>
        <w:t xml:space="preserve">The nuance / risk:</w:t>
      </w:r>
      <w:r>
        <w:t xml:space="preserve"> </w:t>
      </w:r>
      <w:r>
        <w:t xml:space="preserve">the FY ~2% math implies</w:t>
      </w:r>
      <w:r>
        <w:t xml:space="preserve"> </w:t>
      </w:r>
      <w:r>
        <w:rPr>
          <w:b/>
          <w:bCs/>
        </w:rPr>
        <w:t xml:space="preserve">H2 capacity growth closer to ~3%</w:t>
      </w:r>
      <w:r>
        <w:t xml:space="preserve">, i.e., Southwest</w:t>
      </w:r>
      <w:r>
        <w:t xml:space="preserve"> </w:t>
      </w:r>
      <w:r>
        <w:rPr>
          <w:i/>
          <w:iCs/>
        </w:rPr>
        <w:t xml:space="preserve">adding</w:t>
      </w:r>
      <w:r>
        <w:t xml:space="preserve"> </w:t>
      </w:r>
      <w:r>
        <w:t xml:space="preserve">while peers cut. Citi's "</w:t>
      </w:r>
      <w:r>
        <w:rPr>
          <w:b/>
          <w:bCs/>
        </w:rPr>
        <w:t xml:space="preserve">Supermajors Super-Cycle</w:t>
      </w:r>
      <w:r>
        <w:t xml:space="preserve">" thesis favors Delta/United/American and warns that carriers ramping domestic capacity into year-end "are likely to see their stocks punished, even as earnings move higher." Expect analysts to press management on whether it will keep demand-shaping H2 capacity lower (management hinted it would). This is the biggest</w:t>
      </w:r>
      <w:r>
        <w:t xml:space="preserve"> </w:t>
      </w:r>
      <w:r>
        <w:rPr>
          <w:i/>
          <w:iCs/>
        </w:rPr>
        <w:t xml:space="preserve">sentiment</w:t>
      </w:r>
      <w:r>
        <w:t xml:space="preserve"> </w:t>
      </w:r>
      <w:r>
        <w:t xml:space="preserve">risk into the print.</w:t>
      </w:r>
    </w:p>
    <w:p>
      <w:r>
        <w:pict>
          <v:rect style="width:0;height:1.5pt" o:hralign="center" o:hrstd="t" o:hr="t"/>
        </w:pict>
      </w:r>
    </w:p>
    <w:bookmarkEnd w:id="14"/>
    <w:bookmarkStart w:id="15" w:name="X64bc28efc11ebc55165e0dee90238961bb5f68a"/>
    <w:p>
      <w:pPr>
        <w:pStyle w:val="Heading2"/>
      </w:pPr>
      <w:r>
        <w:t xml:space="preserve">6. Balance sheet &amp; capital returns</w:t>
      </w:r>
    </w:p>
    <w:p>
      <w:pPr>
        <w:pStyle w:val="Compact"/>
        <w:numPr>
          <w:ilvl w:val="0"/>
          <w:numId w:val="1005"/>
        </w:numPr>
      </w:pPr>
      <w:r>
        <w:t xml:space="preserve">Q1 ended with</w:t>
      </w:r>
      <w:r>
        <w:t xml:space="preserve"> </w:t>
      </w:r>
      <w:r>
        <w:rPr>
          <w:b/>
          <w:bCs/>
        </w:rPr>
        <w:t xml:space="preserve">$4.8B liquidity, 2.2x leverage</w:t>
      </w:r>
      <w:r>
        <w:t xml:space="preserve">, an investment-grade rating management calls a key differentiator (only 3 airlines globally hold one).</w:t>
      </w:r>
    </w:p>
    <w:p>
      <w:pPr>
        <w:pStyle w:val="Compact"/>
        <w:numPr>
          <w:ilvl w:val="0"/>
          <w:numId w:val="1005"/>
        </w:numPr>
      </w:pPr>
      <w:r>
        <w:t xml:space="preserve">Southwest returned</w:t>
      </w:r>
      <w:r>
        <w:t xml:space="preserve"> </w:t>
      </w:r>
      <w:r>
        <w:rPr>
          <w:b/>
          <w:bCs/>
        </w:rPr>
        <w:t xml:space="preserve">&gt;</w:t>
      </w:r>
      <m:oMath>
        <m:r>
          <m:t>1.3</m:t>
        </m:r>
        <m:r>
          <m:t>B</m:t>
        </m:r>
        <m:r>
          <m:rPr>
            <m:sty m:val="p"/>
          </m:rPr>
          <m:t>*</m:t>
        </m:r>
        <m:r>
          <m:rPr>
            <m:sty m:val="p"/>
          </m:rPr>
          <m:t>*</m:t>
        </m:r>
        <m:r>
          <m:t>i</m:t>
        </m:r>
        <m:r>
          <m:t>n</m:t>
        </m:r>
        <m:r>
          <m:t>Q</m:t>
        </m:r>
        <m:r>
          <m:t>1</m:t>
        </m:r>
        <m:r>
          <m:rPr>
            <m:sty m:val="p"/>
          </m:rPr>
          <m:t>(</m:t>
        </m:r>
      </m:oMath>
      <w:r>
        <w:rPr>
          <w:b/>
          <w:bCs/>
        </w:rPr>
        <w:t xml:space="preserve">1.25B buybacks +</w:t>
      </w:r>
      <w:r>
        <w:rPr>
          <w:b/>
          <w:bCs/>
        </w:rPr>
        <w:t xml:space="preserve"> </w:t>
      </w:r>
      <m:oMath>
        <m:r>
          <m:t>93</m:t>
        </m:r>
        <m:r>
          <m:t>M</m:t>
        </m:r>
        <m:r>
          <m:t>d</m:t>
        </m:r>
        <m:r>
          <m:t>i</m:t>
        </m:r>
        <m:r>
          <m:t>v</m:t>
        </m:r>
        <m:r>
          <m:t>i</m:t>
        </m:r>
        <m:r>
          <m:t>d</m:t>
        </m:r>
        <m:r>
          <m:t>e</m:t>
        </m:r>
        <m:r>
          <m:t>n</m:t>
        </m:r>
        <m:r>
          <m:t>d</m:t>
        </m:r>
        <m:r>
          <m:t>s</m:t>
        </m:r>
        <m:r>
          <m:rPr>
            <m:sty m:val="p"/>
          </m:rPr>
          <m:t>)</m:t>
        </m:r>
        <m:r>
          <m:rPr>
            <m:sty m:val="p"/>
          </m:rPr>
          <m:t>;</m:t>
        </m:r>
        <m:r>
          <m:rPr>
            <m:sty m:val="p"/>
          </m:rPr>
          <m:t>*</m:t>
        </m:r>
        <m:r>
          <m:rPr>
            <m:sty m:val="p"/>
          </m:rPr>
          <m:t>*</m:t>
        </m:r>
        <m:r>
          <m:t> </m:t>
        </m:r>
      </m:oMath>
      <w:r>
        <w:rPr>
          <w:b/>
          <w:bCs/>
        </w:rPr>
        <w:t xml:space="preserve">450M remains</w:t>
      </w:r>
      <w:r>
        <w:t xml:space="preserve"> </w:t>
      </w:r>
      <w:r>
        <w:t xml:space="preserve">on the $2.0B authorization.</w:t>
      </w:r>
      <w:r>
        <w:t xml:space="preserve"> </w:t>
      </w:r>
      <w:r>
        <w:rPr>
          <w:b/>
          <w:bCs/>
        </w:rPr>
        <w:t xml:space="preserve">Watch for a new/expanded repurchase authorization</w:t>
      </w:r>
      <w:r>
        <w:t xml:space="preserve"> </w:t>
      </w:r>
      <w:r>
        <w:t xml:space="preserve">and commentary on buyback pace given the fuel-driven FCF hit (Q1 operating cash flow was still strong at $1.4B, +65% y/y).</w:t>
      </w:r>
    </w:p>
    <w:p>
      <w:r>
        <w:pict>
          <v:rect style="width:0;height:1.5pt" o:hralign="center" o:hrstd="t" o:hr="t"/>
        </w:pict>
      </w:r>
    </w:p>
    <w:bookmarkEnd w:id="15"/>
    <w:bookmarkStart w:id="16" w:name="X397bde217c4208425572dc61f2e56c8d0e5cae4"/>
    <w:p>
      <w:pPr>
        <w:pStyle w:val="Heading2"/>
      </w:pPr>
      <w:r>
        <w:t xml:space="preserve">7. Competitive &amp; strategic backdrop</w:t>
      </w:r>
    </w:p>
    <w:p>
      <w:pPr>
        <w:pStyle w:val="Compact"/>
        <w:numPr>
          <w:ilvl w:val="0"/>
          <w:numId w:val="1006"/>
        </w:numPr>
      </w:pPr>
      <w:r>
        <w:rPr>
          <w:b/>
          <w:bCs/>
        </w:rPr>
        <w:t xml:space="preserve">The budget model is "running out of runway"</w:t>
      </w:r>
      <w:r>
        <w:t xml:space="preserve"> </w:t>
      </w:r>
      <w:r>
        <w:t xml:space="preserve">(Spirit's demise, JetBlue grabbing Spirit's LaGuardia slots) — a favorable capacity/pricing backdrop for a scaled domestic carrier like Southwest.</w:t>
      </w:r>
    </w:p>
    <w:p>
      <w:pPr>
        <w:pStyle w:val="Compact"/>
        <w:numPr>
          <w:ilvl w:val="0"/>
          <w:numId w:val="1006"/>
        </w:numPr>
      </w:pPr>
      <w:r>
        <w:rPr>
          <w:b/>
          <w:bCs/>
        </w:rPr>
        <w:t xml:space="preserve">M&amp;A/consolidation</w:t>
      </w:r>
      <w:r>
        <w:t xml:space="preserve"> </w:t>
      </w:r>
      <w:r>
        <w:t xml:space="preserve">questions will recur; Bob Jordan stays non-committal but laid out clear criteria (synergies, approvability, consumer benefit) and stressed the investment-grade rating is a filter. Don't expect news, but expect the question.</w:t>
      </w:r>
    </w:p>
    <w:p>
      <w:pPr>
        <w:pStyle w:val="Compact"/>
        <w:numPr>
          <w:ilvl w:val="0"/>
          <w:numId w:val="1006"/>
        </w:numPr>
      </w:pPr>
      <w:r>
        <w:t xml:space="preserve">Note the standing</w:t>
      </w:r>
      <w:r>
        <w:t xml:space="preserve"> </w:t>
      </w:r>
      <w:r>
        <w:rPr>
          <w:b/>
          <w:bCs/>
        </w:rPr>
        <w:t xml:space="preserve">activist-shareholder</w:t>
      </w:r>
      <w:r>
        <w:t xml:space="preserve"> </w:t>
      </w:r>
      <w:r>
        <w:t xml:space="preserve">overhang (Elliott history) remains a background factor referenced in risk factors.</w:t>
      </w:r>
    </w:p>
    <w:p>
      <w:r>
        <w:pict>
          <v:rect style="width:0;height:1.5pt" o:hralign="center" o:hrstd="t" o:hr="t"/>
        </w:pict>
      </w:r>
    </w:p>
    <w:bookmarkEnd w:id="16"/>
    <w:bookmarkStart w:id="17" w:name="X38f4bdc0625033b8005f96f51acd0fafe8fab3a"/>
    <w:p>
      <w:pPr>
        <w:pStyle w:val="Heading2"/>
      </w:pPr>
      <w:r>
        <w:t xml:space="preserve">8. Stock setup / positioning</w:t>
      </w:r>
    </w:p>
    <w:p>
      <w:pPr>
        <w:pStyle w:val="Compact"/>
        <w:numPr>
          <w:ilvl w:val="0"/>
          <w:numId w:val="1007"/>
        </w:numPr>
      </w:pPr>
      <w:r>
        <w:t xml:space="preserve">LUV is</w:t>
      </w:r>
      <w:r>
        <w:t xml:space="preserve"> </w:t>
      </w:r>
      <w:r>
        <w:rPr>
          <w:b/>
          <w:bCs/>
        </w:rPr>
        <w:t xml:space="preserve">~+18% YTD</w:t>
      </w:r>
      <w:r>
        <w:t xml:space="preserve"> </w:t>
      </w:r>
      <w:r>
        <w:t xml:space="preserve">($41.30 →</w:t>
      </w:r>
      <w:r>
        <w:t xml:space="preserve"> </w:t>
      </w:r>
      <m:oMath>
        <m:r>
          <m:t>48.70</m:t>
        </m:r>
        <m:r>
          <m:rPr>
            <m:sty m:val="p"/>
          </m:rPr>
          <m:t>)</m:t>
        </m:r>
        <m:r>
          <m:t>a</m:t>
        </m:r>
        <m:r>
          <m:t>n</m:t>
        </m:r>
        <m:r>
          <m:t>d</m:t>
        </m:r>
        <m:r>
          <m:rPr>
            <m:sty m:val="p"/>
          </m:rPr>
          <m:t>*</m:t>
        </m:r>
        <m:r>
          <m:rPr>
            <m:sty m:val="p"/>
          </m:rPr>
          <m:t>*</m:t>
        </m:r>
        <m:r>
          <m:t> </m:t>
        </m:r>
        <m:r>
          <m:rPr>
            <m:sty m:val="p"/>
          </m:rPr>
          <m:t>+</m:t>
        </m:r>
        <m:r>
          <m:t>24</m:t>
        </m:r>
        <m:r>
          <m:rPr>
            <m:sty m:val="p"/>
          </m:rPr>
          <m:t>–</m:t>
        </m:r>
        <m:r>
          <m:t>29</m:t>
        </m:r>
      </m:oMath>
      <w:r>
        <w:t xml:space="preserve">37.75), having round-tripped a sharp war/fuel-spike drawdown to ~</w:t>
      </w:r>
      <m:oMath>
        <m:r>
          <m:t>36</m:t>
        </m:r>
        <m:r>
          <m:t>i</m:t>
        </m:r>
        <m:r>
          <m:t>n</m:t>
        </m:r>
        <m:r>
          <m:t>l</m:t>
        </m:r>
        <m:r>
          <m:t>a</m:t>
        </m:r>
        <m:r>
          <m:t>t</m:t>
        </m:r>
        <m:r>
          <m:t>e</m:t>
        </m:r>
        <m:r>
          <m:t>M</m:t>
        </m:r>
        <m:r>
          <m:t>a</m:t>
        </m:r>
        <m:r>
          <m:t>r</m:t>
        </m:r>
        <m:r>
          <m:t>c</m:t>
        </m:r>
        <m:r>
          <m:t>h</m:t>
        </m:r>
        <m:r>
          <m:t>a</m:t>
        </m:r>
        <m:r>
          <m:t>n</m:t>
        </m:r>
        <m:r>
          <m:t>d</m:t>
        </m:r>
        <m:r>
          <m:t>a</m:t>
        </m:r>
        <m:r>
          <m:t>F</m:t>
        </m:r>
        <m:r>
          <m:t>e</m:t>
        </m:r>
        <m:r>
          <m:t>b</m:t>
        </m:r>
        <m:r>
          <m:t>r</m:t>
        </m:r>
        <m:r>
          <m:t>u</m:t>
        </m:r>
        <m:r>
          <m:t>a</m:t>
        </m:r>
        <m:r>
          <m:t>r</m:t>
        </m:r>
        <m:r>
          <m:t>y</m:t>
        </m:r>
        <m:r>
          <m:t>h</m:t>
        </m:r>
        <m:r>
          <m:t>i</m:t>
        </m:r>
        <m:r>
          <m:t>g</m:t>
        </m:r>
        <m:r>
          <m:t>h</m:t>
        </m:r>
        <m:r>
          <m:t>n</m:t>
        </m:r>
        <m:r>
          <m:t>e</m:t>
        </m:r>
        <m:r>
          <m:t>a</m:t>
        </m:r>
        <m:r>
          <m:t>r</m:t>
        </m:r>
        <m:r>
          <m:t> </m:t>
        </m:r>
      </m:oMath>
      <w:r>
        <w:t xml:space="preserve">55.</w:t>
      </w:r>
    </w:p>
    <w:p>
      <w:pPr>
        <w:pStyle w:val="Compact"/>
        <w:numPr>
          <w:ilvl w:val="0"/>
          <w:numId w:val="1007"/>
        </w:numPr>
      </w:pPr>
      <w:r>
        <w:t xml:space="preserve">It has</w:t>
      </w:r>
      <w:r>
        <w:t xml:space="preserve"> </w:t>
      </w:r>
      <w:r>
        <w:rPr>
          <w:b/>
          <w:bCs/>
        </w:rPr>
        <w:t xml:space="preserve">outperformed UAL (+4% YTD) and AAL (~flat)</w:t>
      </w:r>
      <w:r>
        <w:t xml:space="preserve"> </w:t>
      </w:r>
      <w:r>
        <w:t xml:space="preserve">but</w:t>
      </w:r>
      <w:r>
        <w:t xml:space="preserve"> </w:t>
      </w:r>
      <w:r>
        <w:rPr>
          <w:b/>
          <w:bCs/>
        </w:rPr>
        <w:t xml:space="preserve">lagged DAL (~+23%)</w:t>
      </w:r>
      <w:r>
        <w:t xml:space="preserve"> </w:t>
      </w:r>
      <w:r>
        <w:t xml:space="preserve">— consistent with the market currently rewarding the premium-heavy "supermajors."</w:t>
      </w:r>
    </w:p>
    <w:p>
      <w:pPr>
        <w:pStyle w:val="Compact"/>
        <w:numPr>
          <w:ilvl w:val="0"/>
          <w:numId w:val="1007"/>
        </w:numPr>
      </w:pPr>
      <w:r>
        <w:t xml:space="preserve">The stock has stalled the past month (roughly flat, ~$48–52 range), suggesting a lot of the good-news/fuel-relief rebound is</w:t>
      </w:r>
      <w:r>
        <w:t xml:space="preserve"> </w:t>
      </w:r>
      <w:r>
        <w:rPr>
          <w:b/>
          <w:bCs/>
        </w:rPr>
        <w:t xml:space="preserve">already priced in</w:t>
      </w:r>
      <w:r>
        <w:t xml:space="preserve"> </w:t>
      </w:r>
      <w:r>
        <w:t xml:space="preserve">— echoing the broader Barron's/Citi "earnings take off, stocks may get left behind" caution for the group.</w:t>
      </w:r>
    </w:p>
    <w:p>
      <w:pPr>
        <w:pStyle w:val="FirstParagraph"/>
      </w:pPr>
      <w:r>
        <w:rPr>
          <w:b/>
          <w:bCs/>
        </w:rPr>
        <w:t xml:space="preserve">Implication:</w:t>
      </w:r>
      <w:r>
        <w:t xml:space="preserve"> </w:t>
      </w:r>
      <w:r>
        <w:t xml:space="preserve">With a wide EPS band and a strong-demand backdrop already confirmed by peers, the reaction likely turns on (1)</w:t>
      </w:r>
      <w:r>
        <w:t xml:space="preserve"> </w:t>
      </w:r>
      <w:r>
        <w:rPr>
          <w:b/>
          <w:bCs/>
        </w:rPr>
        <w:t xml:space="preserve">RASM vs. the industry-leading guide</w:t>
      </w:r>
      <w:r>
        <w:t xml:space="preserve">, (2) whether the</w:t>
      </w:r>
      <w:r>
        <w:t xml:space="preserve"> </w:t>
      </w:r>
      <w:r>
        <w:rPr>
          <w:b/>
          <w:bCs/>
        </w:rPr>
        <w:t xml:space="preserve">FY26 guide is reinstated/raised</w:t>
      </w:r>
      <w:r>
        <w:t xml:space="preserve">, and (3)</w:t>
      </w:r>
      <w:r>
        <w:t xml:space="preserve"> </w:t>
      </w:r>
      <w:r>
        <w:rPr>
          <w:b/>
          <w:bCs/>
        </w:rPr>
        <w:t xml:space="preserve">H2 capacity discipline</w:t>
      </w:r>
      <w:r>
        <w:t xml:space="preserve">. A beat that isn't accompanied by a re-anchored full-year outlook and disciplined capacity could see a "sell-the-news" fade.</w:t>
      </w:r>
    </w:p>
    <w:p>
      <w:r>
        <w:pict>
          <v:rect style="width:0;height:1.5pt" o:hralign="center" o:hrstd="t" o:hr="t"/>
        </w:pict>
      </w:r>
    </w:p>
    <w:bookmarkEnd w:id="17"/>
    <w:bookmarkStart w:id="18" w:name="quick-scorecard-for-the-print"/>
    <w:p>
      <w:pPr>
        <w:pStyle w:val="Heading2"/>
      </w:pPr>
      <w:r>
        <w:t xml:space="preserve">Quick scorecard for the print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Watch item</w:t>
            </w:r>
          </w:p>
        </w:tc>
        <w:tc>
          <w:tcPr/>
          <w:p>
            <w:pPr>
              <w:pStyle w:val="Compact"/>
            </w:pPr>
            <w:r>
              <w:t xml:space="preserve">Bullish outcome</w:t>
            </w:r>
          </w:p>
        </w:tc>
        <w:tc>
          <w:tcPr/>
          <w:p>
            <w:pPr>
              <w:pStyle w:val="Compact"/>
            </w:pPr>
            <w:r>
              <w:t xml:space="preserve">Bearish outcome</w:t>
            </w:r>
          </w:p>
        </w:tc>
      </w:tr>
      <w:tr>
        <w:tc>
          <w:tcPr/>
          <w:p>
            <w:pPr>
              <w:pStyle w:val="Compact"/>
            </w:pPr>
            <w:r>
              <w:rPr>
                <w:b/>
                <w:bCs/>
              </w:rPr>
              <w:t xml:space="preserve">EPS vs.</w:t>
            </w:r>
            <w:r>
              <w:rPr>
                <w:b/>
                <w:bCs/>
              </w:rPr>
              <w:t xml:space="preserve"> </w:t>
            </w:r>
            <m:oMath>
              <m:r>
                <m:t>0.35</m:t>
              </m:r>
              <m:r>
                <m:rPr>
                  <m:sty m:val="p"/>
                </m:rPr>
                <m:t>–</m:t>
              </m:r>
            </m:oMath>
            <w:r>
              <w:rPr>
                <w:b/>
                <w:bCs/>
              </w:rPr>
              <w:t xml:space="preserve">0.65</w:t>
            </w:r>
          </w:p>
        </w:tc>
        <w:tc>
          <w:tcPr/>
          <w:p>
            <w:pPr>
              <w:pStyle w:val="Compact"/>
            </w:pPr>
            <w:r>
              <w:t xml:space="preserve">At/above high end (fuel &lt; guide)</w:t>
            </w:r>
          </w:p>
        </w:tc>
        <w:tc>
          <w:tcPr/>
          <w:p>
            <w:pPr>
              <w:pStyle w:val="Compact"/>
            </w:pPr>
            <w:r>
              <w:t xml:space="preserve">Mid/low end despite lower fuel</w:t>
            </w:r>
          </w:p>
        </w:tc>
      </w:tr>
      <w:tr>
        <w:tc>
          <w:tcPr/>
          <w:p>
            <w:pPr>
              <w:pStyle w:val="Compact"/>
            </w:pPr>
            <w:r>
              <w:rPr>
                <w:b/>
                <w:bCs/>
              </w:rPr>
              <w:t xml:space="preserve">RASM</w:t>
            </w:r>
          </w:p>
        </w:tc>
        <w:tc>
          <w:tcPr/>
          <w:p>
            <w:pPr>
              <w:pStyle w:val="Compact"/>
            </w:pPr>
            <w:r>
              <w:t xml:space="preserve">Beats +18.5% high end</w:t>
            </w:r>
          </w:p>
        </w:tc>
        <w:tc>
          <w:tcPr/>
          <w:p>
            <w:pPr>
              <w:pStyle w:val="Compact"/>
            </w:pPr>
            <w:r>
              <w:t xml:space="preserve">Toward/below +16.5% low end</w:t>
            </w:r>
          </w:p>
        </w:tc>
      </w:tr>
      <w:tr>
        <w:tc>
          <w:tcPr/>
          <w:p>
            <w:pPr>
              <w:pStyle w:val="Compact"/>
            </w:pPr>
            <w:r>
              <w:rPr>
                <w:b/>
                <w:bCs/>
              </w:rPr>
              <w:t xml:space="preserve">FY26 guide</w:t>
            </w:r>
          </w:p>
        </w:tc>
        <w:tc>
          <w:tcPr/>
          <w:p>
            <w:pPr>
              <w:pStyle w:val="Compact"/>
            </w:pPr>
            <w:r>
              <w:t xml:space="preserve">Reinstated / raised toward $4</w:t>
            </w:r>
          </w:p>
        </w:tc>
        <w:tc>
          <w:tcPr/>
          <w:p>
            <w:pPr>
              <w:pStyle w:val="Compact"/>
            </w:pPr>
            <w:r>
              <w:t xml:space="preserve">Declined again</w:t>
            </w:r>
          </w:p>
        </w:tc>
      </w:tr>
      <w:tr>
        <w:tc>
          <w:tcPr/>
          <w:p>
            <w:pPr>
              <w:pStyle w:val="Compact"/>
            </w:pPr>
            <w:r>
              <w:rPr>
                <w:b/>
                <w:bCs/>
              </w:rPr>
              <w:t xml:space="preserve">CASM-X</w:t>
            </w:r>
          </w:p>
        </w:tc>
        <w:tc>
          <w:tcPr/>
          <w:p>
            <w:pPr>
              <w:pStyle w:val="Compact"/>
            </w:pPr>
            <w:r>
              <w:t xml:space="preserve">Beats +3.5–4.0% (structural)</w:t>
            </w:r>
          </w:p>
        </w:tc>
        <w:tc>
          <w:tcPr/>
          <w:p>
            <w:pPr>
              <w:pStyle w:val="Compact"/>
            </w:pPr>
            <w:r>
              <w:t xml:space="preserve">In-line/above</w:t>
            </w:r>
          </w:p>
        </w:tc>
      </w:tr>
      <w:tr>
        <w:tc>
          <w:tcPr/>
          <w:p>
            <w:pPr>
              <w:pStyle w:val="Compact"/>
            </w:pPr>
            <w:r>
              <w:rPr>
                <w:b/>
                <w:bCs/>
              </w:rPr>
              <w:t xml:space="preserve">H2 capacity</w:t>
            </w:r>
          </w:p>
        </w:tc>
        <w:tc>
          <w:tcPr/>
          <w:p>
            <w:pPr>
              <w:pStyle w:val="Compact"/>
            </w:pPr>
            <w:r>
              <w:t xml:space="preserve">Trimmed below implied ~3%</w:t>
            </w:r>
          </w:p>
        </w:tc>
        <w:tc>
          <w:tcPr/>
          <w:p>
            <w:pPr>
              <w:pStyle w:val="Compact"/>
            </w:pPr>
            <w:r>
              <w:t xml:space="preserve">Confirmed ~3% growth</w:t>
            </w:r>
          </w:p>
        </w:tc>
      </w:tr>
      <w:tr>
        <w:tc>
          <w:tcPr/>
          <w:p>
            <w:pPr>
              <w:pStyle w:val="Compact"/>
            </w:pPr>
            <w:r>
              <w:rPr>
                <w:b/>
                <w:bCs/>
              </w:rPr>
              <w:t xml:space="preserve">Buybacks</w:t>
            </w:r>
          </w:p>
        </w:tc>
        <w:tc>
          <w:tcPr/>
          <w:p>
            <w:pPr>
              <w:pStyle w:val="Compact"/>
            </w:pPr>
            <w:r>
              <w:t xml:space="preserve">New/expanded authorization</w:t>
            </w:r>
          </w:p>
        </w:tc>
        <w:tc>
          <w:tcPr/>
          <w:p>
            <w:pPr>
              <w:pStyle w:val="Compact"/>
            </w:pPr>
            <w:r>
              <w:t xml:space="preserve">Paused pending FCF</w:t>
            </w:r>
          </w:p>
        </w:tc>
      </w:tr>
      <w:tr>
        <w:tc>
          <w:tcPr/>
          <w:p>
            <w:pPr>
              <w:pStyle w:val="Compact"/>
            </w:pPr>
            <w:r>
              <w:rPr>
                <w:b/>
                <w:bCs/>
              </w:rPr>
              <w:t xml:space="preserve">Initiatives</w:t>
            </w:r>
          </w:p>
        </w:tc>
        <w:tc>
          <w:tcPr/>
          <w:p>
            <w:pPr>
              <w:pStyle w:val="Compact"/>
            </w:pPr>
            <w:r>
              <w:t xml:space="preserve">Take-rate accelerating to run-rate</w:t>
            </w:r>
          </w:p>
        </w:tc>
        <w:tc>
          <w:tcPr/>
          <w:p>
            <w:pPr>
              <w:pStyle w:val="Compact"/>
            </w:pPr>
            <w:r>
              <w:t xml:space="preserve">Buy-up/corporate momentum stalling</w:t>
            </w:r>
          </w:p>
        </w:tc>
      </w:tr>
    </w:tbl>
    <w:p>
      <w:pPr>
        <w:pStyle w:val="BodyText"/>
      </w:pPr>
      <w:r>
        <w:rPr>
          <w:b/>
          <w:bCs/>
        </w:rPr>
        <w:t xml:space="preserve">Bottom line:</w:t>
      </w:r>
      <w:r>
        <w:t xml:space="preserve"> </w:t>
      </w:r>
      <w:r>
        <w:t xml:space="preserve">Fundamentally this should be a strong quarter — record-type revenue, huge RASM growth, structural cost wins — but the two things that move the stock are</w:t>
      </w:r>
      <w:r>
        <w:t xml:space="preserve"> </w:t>
      </w:r>
      <w:r>
        <w:rPr>
          <w:b/>
          <w:bCs/>
        </w:rPr>
        <w:t xml:space="preserve">the fuel outcome relative to a conservative guide</w:t>
      </w:r>
      <w:r>
        <w:t xml:space="preserve"> </w:t>
      </w:r>
      <w:r>
        <w:t xml:space="preserve">and</w:t>
      </w:r>
      <w:r>
        <w:t xml:space="preserve"> </w:t>
      </w:r>
      <w:r>
        <w:rPr>
          <w:b/>
          <w:bCs/>
        </w:rPr>
        <w:t xml:space="preserve">whether management finally puts a full-year number back on the table</w:t>
      </w:r>
      <w:r>
        <w:t xml:space="preserve">. Demand risk has been de-risked by Delta and United; the debate now is valuation, H2 capacity, and credibility of the ~$4 EPS path.</w:t>
      </w:r>
    </w:p>
    <w:p>
      <w:pPr>
        <w:pStyle w:val="BodyText"/>
      </w:pPr>
      <w:r>
        <w:rPr>
          <w:i/>
          <w:iCs/>
        </w:rPr>
        <w:t xml:space="preserve">(Note: figures and guidance above are drawn from Southwest's Q1 2026 earnings release/call and Q2 2025 release; peer data from Delta's and United's July 2026 reports. Fuel and demand conditions can shift ahead of the print — verify against the actual release.)</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2026-07-22T01:00:57Z</dcterms:created>
  <dcterms:modified xsi:type="dcterms:W3CDTF">2026-07-22T01:00:57Z</dcterms:modified>
</cp:coreProperties>
</file>

<file path=docProps/custom.xml><?xml version="1.0" encoding="utf-8"?>
<Properties xmlns="http://schemas.openxmlformats.org/officeDocument/2006/custom-properties" xmlns:vt="http://schemas.openxmlformats.org/officeDocument/2006/docPropsVTypes"/>
</file>