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f6e3d2bd131fc5e9012f6afdb3da33d2a17a40d"/>
    <w:p>
      <w:pPr>
        <w:pStyle w:val="Heading1"/>
      </w:pPr>
      <w:r>
        <w:t xml:space="preserve">Southwest Airlines (LUV) — Q2 2026 Earnings Preview</w:t>
      </w:r>
    </w:p>
    <w:p>
      <w:pPr>
        <w:pStyle w:val="FirstParagraph"/>
      </w:pPr>
      <w:r>
        <w:rPr>
          <w:b/>
          <w:bCs/>
        </w:rPr>
        <w:t xml:space="preserve">Report date:</w:t>
      </w:r>
      <w:r>
        <w:t xml:space="preserve"> </w:t>
      </w:r>
      <w:r>
        <w:t xml:space="preserve">Wednesday, July 22, 2026 (before market open), followed by the 2026Q2 earnings call</w:t>
      </w:r>
    </w:p>
    <w:p>
      <w:r>
        <w:pict>
          <v:rect style="width:0;height:1.5pt" o:hralign="center" o:hrstd="t" o:hr="t"/>
        </w:pict>
      </w:r>
    </w:p>
    <w:bookmarkStart w:id="9" w:name="setting-the-stage"/>
    <w:p>
      <w:pPr>
        <w:pStyle w:val="Heading2"/>
      </w:pPr>
      <w:r>
        <w:t xml:space="preserve">Setting the Stage</w:t>
      </w:r>
    </w:p>
    <w:p>
      <w:pPr>
        <w:pStyle w:val="FirstParagraph"/>
      </w:pPr>
      <w:r>
        <w:t xml:space="preserve">Southwest heads into this print riding real momentum. In Q1 2026, the company said its transformation initiatives were now "fully implemented" and delivering — assigned/extra-legroom seating, bag-fee changes, and cost discipline drove a swing from a loss to profitability even as fuel costs spiked. On the Q1 call, CEO Bob Jordan said the quarter "represents an important milestone for Southwest as all our previously announced initiatives are now in place and contributing to our results." Southwest posted</w:t>
      </w:r>
      <w:r>
        <w:t xml:space="preserve"> </w:t>
      </w:r>
      <w:r>
        <w:rPr>
          <w:b/>
          <w:bCs/>
        </w:rPr>
        <w:t xml:space="preserve">$227 million net income /</w:t>
      </w:r>
      <w:r>
        <w:rPr>
          <w:b/>
          <w:bCs/>
        </w:rPr>
        <w:t xml:space="preserve"> </w:t>
      </w:r>
      <m:oMath>
        <m:r>
          <m:t>0.45</m:t>
        </m:r>
        <m:r>
          <m:t>E</m:t>
        </m:r>
        <m:r>
          <m:t>P</m:t>
        </m:r>
        <m:r>
          <m:t>S</m:t>
        </m:r>
        <m:r>
          <m:rPr>
            <m:sty m:val="p"/>
          </m:rPr>
          <m:t>*</m:t>
        </m:r>
        <m:r>
          <m:rPr>
            <m:sty m:val="p"/>
          </m:rPr>
          <m:t>*</m:t>
        </m:r>
        <m:r>
          <m:rPr>
            <m:sty m:val="p"/>
          </m:rPr>
          <m:t>,</m:t>
        </m:r>
        <m:r>
          <m:t>a</m:t>
        </m:r>
        <m:r>
          <m:rPr>
            <m:sty m:val="p"/>
          </m:rPr>
          <m:t>*</m:t>
        </m:r>
        <m:r>
          <m:rPr>
            <m:sty m:val="p"/>
          </m:rPr>
          <m:t>*</m:t>
        </m:r>
        <m:r>
          <m:t>4.6</m:t>
        </m:r>
      </m:oMath>
      <w:r>
        <w:rPr>
          <w:b/>
          <w:bCs/>
        </w:rPr>
        <w:t xml:space="preserve">1.4 billion in operating cash flow</w:t>
      </w:r>
      <w:r>
        <w:t xml:space="preserve"> </w:t>
      </w:r>
      <w:r>
        <w:t xml:space="preserve">(+65% YoY), and record first-quarter passenger, operating, and unit revenues — all against a backdrop of a roughly</w:t>
      </w:r>
      <w:r>
        <w:t xml:space="preserve"> </w:t>
      </w:r>
      <w:r>
        <w:rPr>
          <w:b/>
          <w:bCs/>
        </w:rPr>
        <w:t xml:space="preserve">$0.22/share fuel headwind</w:t>
      </w:r>
      <w:r>
        <w:t xml:space="preserve">.</w:t>
      </w:r>
    </w:p>
    <w:p>
      <w:pPr>
        <w:pStyle w:val="BodyText"/>
      </w:pPr>
      <w:r>
        <w:t xml:space="preserve">For Q2, management guided to:</w:t>
      </w:r>
    </w:p>
    <w:p>
      <w:pPr>
        <w:pStyle w:val="Compact"/>
        <w:numPr>
          <w:ilvl w:val="0"/>
          <w:numId w:val="1001"/>
        </w:numPr>
      </w:pPr>
      <w:r>
        <w:rPr>
          <w:b/>
          <w:bCs/>
        </w:rPr>
        <w:t xml:space="preserve">Adjusted EPS:</w:t>
      </w:r>
      <w:r>
        <w:rPr>
          <w:b/>
          <w:bCs/>
        </w:rPr>
        <w:t xml:space="preserve"> </w:t>
      </w:r>
      <m:oMath>
        <m:r>
          <m:t>0.35</m:t>
        </m:r>
        <m:r>
          <m:rPr>
            <m:sty m:val="p"/>
          </m:rPr>
          <m:t>–</m:t>
        </m:r>
      </m:oMath>
      <w:r>
        <w:rPr>
          <w:b/>
          <w:bCs/>
        </w:rPr>
        <w:t xml:space="preserve">0.65</w:t>
      </w:r>
    </w:p>
    <w:p>
      <w:pPr>
        <w:pStyle w:val="Compact"/>
        <w:numPr>
          <w:ilvl w:val="0"/>
          <w:numId w:val="1001"/>
        </w:numPr>
      </w:pPr>
      <w:r>
        <w:rPr>
          <w:b/>
          <w:bCs/>
        </w:rPr>
        <w:t xml:space="preserve">RASM (unit revenue) growth: +16.5% to +18.5% YoY</w:t>
      </w:r>
      <w:r>
        <w:t xml:space="preserve"> </w:t>
      </w:r>
      <w:r>
        <w:t xml:space="preserve">— which CEO Bob Jordan called potentially "industry-leading by a wide margin"</w:t>
      </w:r>
    </w:p>
    <w:p>
      <w:pPr>
        <w:pStyle w:val="Compact"/>
        <w:numPr>
          <w:ilvl w:val="0"/>
          <w:numId w:val="1001"/>
        </w:numPr>
      </w:pPr>
      <w:r>
        <w:rPr>
          <w:b/>
          <w:bCs/>
        </w:rPr>
        <w:t xml:space="preserve">CASM-X growth: +3.5% to +4.0%</w:t>
      </w:r>
      <w:r>
        <w:t xml:space="preserve"> </w:t>
      </w:r>
      <w:r>
        <w:t xml:space="preserve">(includes a ~1.2-point drag from removing six seats per 737-700 to add extra legroom)</w:t>
      </w:r>
    </w:p>
    <w:p>
      <w:pPr>
        <w:pStyle w:val="Compact"/>
        <w:numPr>
          <w:ilvl w:val="0"/>
          <w:numId w:val="1001"/>
        </w:numPr>
      </w:pPr>
      <w:r>
        <w:rPr>
          <w:b/>
          <w:bCs/>
        </w:rPr>
        <w:t xml:space="preserve">Capacity: flat to up ~1.0% YoY</w:t>
      </w:r>
    </w:p>
    <w:p>
      <w:pPr>
        <w:pStyle w:val="Compact"/>
        <w:numPr>
          <w:ilvl w:val="0"/>
          <w:numId w:val="1001"/>
        </w:numPr>
      </w:pPr>
      <w:r>
        <w:rPr>
          <w:b/>
          <w:bCs/>
        </w:rPr>
        <w:t xml:space="preserve">Fuel:</w:t>
      </w:r>
      <w:r>
        <w:rPr>
          <w:b/>
          <w:bCs/>
        </w:rPr>
        <w:t xml:space="preserve"> </w:t>
      </w:r>
      <m:oMath>
        <m:r>
          <m:t>4.10</m:t>
        </m:r>
        <m:r>
          <m:rPr>
            <m:sty m:val="p"/>
          </m:rPr>
          <m:t>–</m:t>
        </m:r>
      </m:oMath>
      <w:r>
        <w:rPr>
          <w:b/>
          <w:bCs/>
        </w:rPr>
        <w:t xml:space="preserve">4.15/gallon</w:t>
      </w:r>
      <w:r>
        <w:t xml:space="preserve">, based on the extraordinarily elevated forward curve in mid-April, driven by the Iran conflict and Strait of Hormuz disruption</w:t>
      </w:r>
    </w:p>
    <w:p>
      <w:pPr>
        <w:pStyle w:val="FirstParagraph"/>
      </w:pPr>
      <w:r>
        <w:t xml:space="preserve">Notably, Southwest</w:t>
      </w:r>
      <w:r>
        <w:t xml:space="preserve"> </w:t>
      </w:r>
      <w:r>
        <w:rPr>
          <w:b/>
          <w:bCs/>
        </w:rPr>
        <w:t xml:space="preserve">did not reaffirm</w:t>
      </w:r>
      <w:r>
        <w:t xml:space="preserve"> </w:t>
      </w:r>
      <w:r>
        <w:t xml:space="preserve">its full-year "at least $4.00" adjusted EPS guide issued in January, saying an update "would not be productive" given fuel volatility — but stressed the plan was not pulled, and $4.00 remains achievable depending on fuel and revenue trends.</w:t>
      </w:r>
    </w:p>
    <w:p>
      <w:r>
        <w:pict>
          <v:rect style="width:0;height:1.5pt" o:hralign="center" o:hrstd="t" o:hr="t"/>
        </w:pict>
      </w:r>
    </w:p>
    <w:bookmarkEnd w:id="9"/>
    <w:bookmarkStart w:id="10" w:name="what-wall-street-expects"/>
    <w:p>
      <w:pPr>
        <w:pStyle w:val="Heading2"/>
      </w:pPr>
      <w:r>
        <w:t xml:space="preserve">What Wall Street Expects</w:t>
      </w:r>
    </w:p>
    <w:p>
      <w:pPr>
        <w:pStyle w:val="FirstParagraph"/>
      </w:pPr>
      <w:r>
        <w:t xml:space="preserve">Consensus for Q2 sits around</w:t>
      </w:r>
      <w:r>
        <w:t xml:space="preserve"> </w:t>
      </w:r>
      <m:oMath>
        <m:r>
          <m:t>0.52</m:t>
        </m:r>
        <m:r>
          <m:t>E</m:t>
        </m:r>
        <m:r>
          <m:t>P</m:t>
        </m:r>
        <m:r>
          <m:t>S</m:t>
        </m:r>
        <m:r>
          <m:rPr>
            <m:sty m:val="p"/>
          </m:rPr>
          <m:t>*</m:t>
        </m:r>
        <m:r>
          <m:rPr>
            <m:sty m:val="p"/>
          </m:rPr>
          <m:t>*</m:t>
        </m:r>
        <m:r>
          <m:rPr>
            <m:sty m:val="p"/>
          </m:rPr>
          <m:t>(</m:t>
        </m:r>
        <m:r>
          <m:t>r</m:t>
        </m:r>
        <m:r>
          <m:t>a</m:t>
        </m:r>
        <m:r>
          <m:t>n</m:t>
        </m:r>
        <m:r>
          <m:t>g</m:t>
        </m:r>
        <m:r>
          <m:t>e</m:t>
        </m:r>
        <m:r>
          <m:t>r</m:t>
        </m:r>
        <m:r>
          <m:t>o</m:t>
        </m:r>
        <m:r>
          <m:t>u</m:t>
        </m:r>
        <m:r>
          <m:t>g</m:t>
        </m:r>
        <m:r>
          <m:t>h</m:t>
        </m:r>
        <m:r>
          <m:t>l</m:t>
        </m:r>
        <m:r>
          <m:t>y</m:t>
        </m:r>
        <m:r>
          <m:rPr>
            <m:sty m:val="p"/>
          </m:rPr>
          <m:t>*</m:t>
        </m:r>
        <m:r>
          <m:rPr>
            <m:sty m:val="p"/>
          </m:rPr>
          <m:t>*</m:t>
        </m:r>
      </m:oMath>
      <w:r>
        <w:rPr>
          <w:b/>
          <w:bCs/>
        </w:rPr>
        <w:t xml:space="preserve">0.36–$0.71</w:t>
      </w:r>
      <w:r>
        <w:t xml:space="preserve">, per Alphastreet/Zacks aggregation) on</w:t>
      </w:r>
      <w:r>
        <w:t xml:space="preserve"> </w:t>
      </w:r>
      <w:r>
        <w:rPr>
          <w:b/>
          <w:bCs/>
        </w:rPr>
        <w:t xml:space="preserve">revenue near $8.58 billion</w:t>
      </w:r>
      <w:r>
        <w:t xml:space="preserve">, which would represent about</w:t>
      </w:r>
      <w:r>
        <w:t xml:space="preserve"> </w:t>
      </w:r>
      <w:r>
        <w:rPr>
          <w:b/>
          <w:bCs/>
        </w:rPr>
        <w:t xml:space="preserve">18.4% YoY revenue growth</w:t>
      </w:r>
      <w:r>
        <w:t xml:space="preserve"> </w:t>
      </w:r>
      <w:r>
        <w:t xml:space="preserve">and</w:t>
      </w:r>
      <w:r>
        <w:t xml:space="preserve"> </w:t>
      </w:r>
      <w:r>
        <w:rPr>
          <w:b/>
          <w:bCs/>
        </w:rPr>
        <w:t xml:space="preserve">~21% EPS growth</w:t>
      </w:r>
      <w:r>
        <w:t xml:space="preserve">. That consensus sits comfortably within — but toward the upper-middle of — Southwest's own</w:t>
      </w:r>
      <w:r>
        <w:t xml:space="preserve"> </w:t>
      </w:r>
      <m:oMath>
        <m:r>
          <m:t>0.35</m:t>
        </m:r>
        <m:r>
          <m:rPr>
            <m:sty m:val="p"/>
          </m:rPr>
          <m:t>–</m:t>
        </m:r>
      </m:oMath>
      <w:r>
        <w:t xml:space="preserve">0.65 guided range, so the bar is meaningfully skewed toward "did the revenue transformation beat plan enough to offset the fuel shock." Zacks/Alphastreet also note Southwest has a mixed recent beat/miss record (beating in two of the last four quarters, missing once, matching once), with a wide dispersion in analyst estimates reflecting real uncertainty tied to fuel.</w:t>
      </w:r>
    </w:p>
    <w:p>
      <w:r>
        <w:pict>
          <v:rect style="width:0;height:1.5pt" o:hralign="center" o:hrstd="t" o:hr="t"/>
        </w:pict>
      </w:r>
    </w:p>
    <w:bookmarkEnd w:id="10"/>
    <w:bookmarkStart w:id="11" w:name="key-things-to-watch"/>
    <w:p>
      <w:pPr>
        <w:pStyle w:val="Heading2"/>
      </w:pPr>
      <w:r>
        <w:t xml:space="preserve">Key Things to Watch</w:t>
      </w:r>
    </w:p>
    <w:p>
      <w:pPr>
        <w:pStyle w:val="FirstParagraph"/>
      </w:pPr>
      <w:r>
        <w:rPr>
          <w:b/>
          <w:bCs/>
        </w:rPr>
        <w:t xml:space="preserve">1. Did RASM beat guide again, and is the "buy-up" story still accelerating?</w:t>
      </w:r>
      <w:r>
        <w:t xml:space="preserve"> </w:t>
      </w:r>
      <w:r>
        <w:t xml:space="preserve">In Q1, Southwest's RASM rose</w:t>
      </w:r>
      <w:r>
        <w:t xml:space="preserve"> </w:t>
      </w:r>
      <w:r>
        <w:rPr>
          <w:b/>
          <w:bCs/>
        </w:rPr>
        <w:t xml:space="preserve">11.2%</w:t>
      </w:r>
      <w:r>
        <w:t xml:space="preserve"> </w:t>
      </w:r>
      <w:r>
        <w:t xml:space="preserve">versus a guide of "at least 9.5%," driven by strong buy-up of the new fare products — the mix of customers upgrading from the base product jumped from ~20% in 2025 to **~60% in Q1 2026**. Management said initiative "run-rate" contribution wasn't expected until Q3, implying further upside as the seating/ancillary products mature. Watch whether that upsell rate held or grew, and whether the 16.5–18.5% RASM guide proves conservative the way the Q1 guide did.</w:t>
      </w:r>
    </w:p>
    <w:p>
      <w:pPr>
        <w:pStyle w:val="BodyText"/>
      </w:pPr>
      <w:r>
        <w:rPr>
          <w:b/>
          <w:bCs/>
        </w:rPr>
        <w:t xml:space="preserve">2. Managed business/corporate travel momentum.</w:t>
      </w:r>
      <w:r>
        <w:t xml:space="preserve"> </w:t>
      </w:r>
      <w:r>
        <w:t xml:space="preserve">Managed corporate revenue rose</w:t>
      </w:r>
      <w:r>
        <w:t xml:space="preserve"> </w:t>
      </w:r>
      <w:r>
        <w:rPr>
          <w:b/>
          <w:bCs/>
        </w:rPr>
        <w:t xml:space="preserve">16% in Q1 and 25% in March</w:t>
      </w:r>
      <w:r>
        <w:t xml:space="preserve"> </w:t>
      </w:r>
      <w:r>
        <w:t xml:space="preserve">— the largest month/quarter in company history — which management tied directly to the new Starlink, assigned-seating, and legroom products. Continued acceleration here would support the "Southwest can win premium/corporate share" narrative that's central to the bull case.</w:t>
      </w:r>
    </w:p>
    <w:p>
      <w:pPr>
        <w:pStyle w:val="BodyText"/>
      </w:pPr>
      <w:r>
        <w:rPr>
          <w:b/>
          <w:bCs/>
        </w:rPr>
        <w:t xml:space="preserve">3. Cost discipline (CASM-X).</w:t>
      </w:r>
      <w:r>
        <w:t xml:space="preserve"> </w:t>
      </w:r>
      <w:r>
        <w:t xml:space="preserve">Q1 CASM-X rose just</w:t>
      </w:r>
      <w:r>
        <w:t xml:space="preserve"> </w:t>
      </w:r>
      <w:r>
        <w:rPr>
          <w:b/>
          <w:bCs/>
        </w:rPr>
        <w:t xml:space="preserve">2.3%</w:t>
      </w:r>
      <w:r>
        <w:t xml:space="preserve"> </w:t>
      </w:r>
      <w:r>
        <w:t xml:space="preserve">versus a 3.5% guide, which management called "structural," not timing-driven, spanning labor efficiency, technology spend moderation, and maintenance optimization tied to fleet modernization. The Q2 guide of 3.5–4.0% includes a known one-time headwind from seat removal — a beat here (as in Q1) would reinforce confidence in the cost trajectory.</w:t>
      </w:r>
    </w:p>
    <w:p>
      <w:pPr>
        <w:pStyle w:val="BodyText"/>
      </w:pPr>
      <w:r>
        <w:rPr>
          <w:b/>
          <w:bCs/>
        </w:rPr>
        <w:t xml:space="preserve">4. Fuel — the swing factor.</w:t>
      </w:r>
      <w:r>
        <w:t xml:space="preserve"> </w:t>
      </w:r>
      <w:r>
        <w:t xml:space="preserve">Fuel is the single biggest wildcard. Southwest's Q2 guide of</w:t>
      </w:r>
      <w:r>
        <w:t xml:space="preserve"> </w:t>
      </w:r>
      <m:oMath>
        <m:r>
          <m:t>4.10</m:t>
        </m:r>
        <m:r>
          <m:rPr>
            <m:sty m:val="p"/>
          </m:rPr>
          <m:t>–</m:t>
        </m:r>
      </m:oMath>
      <w:r>
        <w:rPr>
          <w:b/>
          <w:bCs/>
        </w:rPr>
        <w:t xml:space="preserve">4.15/gallon</w:t>
      </w:r>
      <w:r>
        <w:t xml:space="preserve"> </w:t>
      </w:r>
      <w:r>
        <w:t xml:space="preserve">reflects the extreme spike tied to the Iran war and Strait of Hormuz closure, when jet fuel briefly spiked well above pre-war levels. Prices eased over Q2 — jet fuel benchmarks reportedly fell back toward the $115–120/barrel range by early July after peaking far higher — but tensions flared again in mid-to-late July, with reports of renewed attacks disrupting shipping through the Strait of Hormuz. That means: (a) actual Q2 fuel costs could land better than the April guide (a tailwind to EPS, similar to how peers beat), but (b) commentary on Q3/H2 fuel assumptions will be closely watched given the fresh geopolitical flare-up.</w:t>
      </w:r>
    </w:p>
    <w:p>
      <w:pPr>
        <w:pStyle w:val="BodyText"/>
      </w:pPr>
      <w:r>
        <w:rPr>
          <w:b/>
          <w:bCs/>
        </w:rPr>
        <w:t xml:space="preserve">5. Full-year 2026 EPS guidance.</w:t>
      </w:r>
      <w:r>
        <w:t xml:space="preserve"> </w:t>
      </w:r>
      <w:r>
        <w:t xml:space="preserve">Investors will want clarity on whether Southwest reinstates or updates its paused</w:t>
      </w:r>
      <w:r>
        <w:t xml:space="preserve"> </w:t>
      </w:r>
      <w:r>
        <w:rPr>
          <w:b/>
          <w:bCs/>
        </w:rPr>
        <w:t xml:space="preserve">"at least</w:t>
      </w:r>
      <w:r>
        <w:rPr>
          <w:b/>
          <w:bCs/>
        </w:rPr>
        <w:t xml:space="preserve"> </w:t>
      </w:r>
      <w:r>
        <w:rPr>
          <w:b/>
          <w:bCs/>
        </w:rPr>
        <w:t xml:space="preserve">$4.00"** full-year adjusted EPS target. Peers have set an encouraging tone: Delta reaffirmed/raised its full-year outlook to roughly **$</w:t>
      </w:r>
      <w:r>
        <w:rPr>
          <w:b/>
          <w:bCs/>
        </w:rPr>
        <w:t xml:space="preserve">6.50–</w:t>
      </w:r>
      <m:oMath>
        <m:r>
          <m:t>7.50</m:t>
        </m:r>
        <m:r>
          <m:rPr>
            <m:sty m:val="p"/>
          </m:rPr>
          <m:t>*</m:t>
        </m:r>
        <m:r>
          <m:rPr>
            <m:sty m:val="p"/>
          </m:rPr>
          <m:t>*</m:t>
        </m:r>
        <m:r>
          <m:rPr>
            <m:sty m:val="p"/>
          </m:rPr>
          <m:t>(</m:t>
        </m:r>
        <m:r>
          <m:t>u</m:t>
        </m:r>
        <m:r>
          <m:t>p</m:t>
        </m:r>
        <m:r>
          <m:t>d</m:t>
        </m:r>
        <m:r>
          <m:t>a</m:t>
        </m:r>
        <m:r>
          <m:t>t</m:t>
        </m:r>
        <m:r>
          <m:t>e</m:t>
        </m:r>
        <m:r>
          <m:t>d</m:t>
        </m:r>
        <m:r>
          <m:t>Q</m:t>
        </m:r>
        <m:r>
          <m:t>3</m:t>
        </m:r>
        <m:r>
          <m:t>v</m:t>
        </m:r>
        <m:r>
          <m:t>i</m:t>
        </m:r>
        <m:r>
          <m:t>e</m:t>
        </m:r>
        <m:r>
          <m:t>w</m:t>
        </m:r>
        <m:r>
          <m:t>a</m:t>
        </m:r>
        <m:r>
          <m:t>b</m:t>
        </m:r>
        <m:r>
          <m:t>o</m:t>
        </m:r>
        <m:r>
          <m:t>v</m:t>
        </m:r>
        <m:r>
          <m:t>e</m:t>
        </m:r>
        <m:r>
          <m:t>c</m:t>
        </m:r>
        <m:r>
          <m:t>o</m:t>
        </m:r>
        <m:r>
          <m:t>n</m:t>
        </m:r>
        <m:r>
          <m:t>s</m:t>
        </m:r>
        <m:r>
          <m:t>e</m:t>
        </m:r>
        <m:r>
          <m:t>n</m:t>
        </m:r>
        <m:r>
          <m:t>s</m:t>
        </m:r>
        <m:r>
          <m:t>u</m:t>
        </m:r>
        <m:r>
          <m:t>s</m:t>
        </m:r>
        <m:r>
          <m:rPr>
            <m:sty m:val="p"/>
          </m:rPr>
          <m:t>)</m:t>
        </m:r>
        <m:r>
          <m:t>d</m:t>
        </m:r>
        <m:r>
          <m:t>e</m:t>
        </m:r>
        <m:r>
          <m:t>s</m:t>
        </m:r>
        <m:r>
          <m:t>p</m:t>
        </m:r>
        <m:r>
          <m:t>i</m:t>
        </m:r>
        <m:r>
          <m:t>t</m:t>
        </m:r>
        <m:r>
          <m:t>e</m:t>
        </m:r>
        <m:r>
          <m:t>r</m:t>
        </m:r>
        <m:r>
          <m:t>e</m:t>
        </m:r>
        <m:r>
          <m:t>c</m:t>
        </m:r>
        <m:r>
          <m:t>o</m:t>
        </m:r>
        <m:r>
          <m:t>r</m:t>
        </m:r>
        <m:r>
          <m:t>d</m:t>
        </m:r>
        <m:r>
          <m:t>f</m:t>
        </m:r>
        <m:r>
          <m:t>u</m:t>
        </m:r>
        <m:r>
          <m:t>e</m:t>
        </m:r>
        <m:r>
          <m:t>l</m:t>
        </m:r>
        <m:r>
          <m:t>c</m:t>
        </m:r>
        <m:r>
          <m:t>o</m:t>
        </m:r>
        <m:r>
          <m:t>s</m:t>
        </m:r>
        <m:r>
          <m:t>t</m:t>
        </m:r>
        <m:r>
          <m:t>s</m:t>
        </m:r>
        <m:r>
          <m:rPr>
            <m:sty m:val="p"/>
          </m:rPr>
          <m:t>,</m:t>
        </m:r>
        <m:r>
          <m:t>w</m:t>
        </m:r>
        <m:r>
          <m:t>h</m:t>
        </m:r>
        <m:r>
          <m:t>i</m:t>
        </m:r>
        <m:r>
          <m:t>l</m:t>
        </m:r>
        <m:r>
          <m:t>e</m:t>
        </m:r>
        <m:r>
          <m:t>U</m:t>
        </m:r>
        <m:r>
          <m:t>n</m:t>
        </m:r>
        <m:r>
          <m:t>i</m:t>
        </m:r>
        <m:r>
          <m:t>t</m:t>
        </m:r>
        <m:r>
          <m:t>e</m:t>
        </m:r>
        <m:r>
          <m:t>d</m:t>
        </m:r>
        <m:r>
          <m:t>r</m:t>
        </m:r>
        <m:r>
          <m:t>a</m:t>
        </m:r>
        <m:r>
          <m:t>i</m:t>
        </m:r>
        <m:r>
          <m:t>s</m:t>
        </m:r>
        <m:r>
          <m:t>e</m:t>
        </m:r>
        <m:r>
          <m:t>d</m:t>
        </m:r>
        <m:r>
          <m:t>f</m:t>
        </m:r>
        <m:r>
          <m:t>u</m:t>
        </m:r>
        <m:r>
          <m:t>l</m:t>
        </m:r>
        <m:r>
          <m:t>l</m:t>
        </m:r>
        <m:r>
          <m:rPr>
            <m:sty m:val="p"/>
          </m:rPr>
          <m:t>−</m:t>
        </m:r>
        <m:r>
          <m:t>y</m:t>
        </m:r>
        <m:r>
          <m:t>e</m:t>
        </m:r>
        <m:r>
          <m:t>a</m:t>
        </m:r>
        <m:r>
          <m:t>r</m:t>
        </m:r>
        <m:r>
          <m:t>E</m:t>
        </m:r>
        <m:r>
          <m:t>P</m:t>
        </m:r>
        <m:r>
          <m:t>S</m:t>
        </m:r>
        <m:r>
          <m:t>g</m:t>
        </m:r>
        <m:r>
          <m:t>u</m:t>
        </m:r>
        <m:r>
          <m:t>i</m:t>
        </m:r>
        <m:r>
          <m:t>d</m:t>
        </m:r>
        <m:r>
          <m:t>a</m:t>
        </m:r>
        <m:r>
          <m:t>n</m:t>
        </m:r>
        <m:r>
          <m:t>c</m:t>
        </m:r>
        <m:r>
          <m:t>e</m:t>
        </m:r>
        <m:r>
          <m:t>t</m:t>
        </m:r>
        <m:r>
          <m:t>o</m:t>
        </m:r>
        <m:r>
          <m:t>a</m:t>
        </m:r>
        <m:r>
          <m:rPr>
            <m:sty m:val="p"/>
          </m:rPr>
          <m:t>*</m:t>
        </m:r>
        <m:r>
          <m:rPr>
            <m:sty m:val="p"/>
          </m:rPr>
          <m:t>*</m:t>
        </m:r>
        <m:r>
          <m:t> </m:t>
        </m:r>
      </m:oMath>
      <w:r>
        <w:rPr>
          <w:b/>
          <w:bCs/>
        </w:rPr>
        <w:t xml:space="preserve">10 midpoint</w:t>
      </w:r>
      <w:r>
        <w:t xml:space="preserve"> </w:t>
      </w:r>
      <w:r>
        <w:t xml:space="preserve">despite absorbing a</w:t>
      </w:r>
      <w:r>
        <w:t xml:space="preserve"> </w:t>
      </w:r>
      <w:r>
        <w:rPr>
          <w:b/>
          <w:bCs/>
        </w:rPr>
        <w:t xml:space="preserve">$6 billion</w:t>
      </w:r>
      <w:r>
        <w:t xml:space="preserve"> </w:t>
      </w:r>
      <w:r>
        <w:t xml:space="preserve">fuel headwind. Both leaned on strong fare pass-through. Southwest, with its high unhedged fuel exposure but also the industry's most aggressive RASM growth, is a key test of whether that dynamic applies broadly across the industry, not just to premium-heavy carriers.</w:t>
      </w:r>
    </w:p>
    <w:p>
      <w:pPr>
        <w:pStyle w:val="BodyText"/>
      </w:pPr>
      <w:r>
        <w:rPr>
          <w:b/>
          <w:bCs/>
        </w:rPr>
        <w:t xml:space="preserve">6. Capacity discipline and network optimization.</w:t>
      </w:r>
      <w:r>
        <w:t xml:space="preserve"> </w:t>
      </w:r>
      <w:r>
        <w:t xml:space="preserve">Southwest trimmed full-year 2026 capacity growth to</w:t>
      </w:r>
      <w:r>
        <w:t xml:space="preserve"> </w:t>
      </w:r>
      <w:r>
        <w:rPr>
          <w:b/>
          <w:bCs/>
        </w:rPr>
        <w:t xml:space="preserve">~2%</w:t>
      </w:r>
      <w:r>
        <w:t xml:space="preserve"> </w:t>
      </w:r>
      <w:r>
        <w:t xml:space="preserve">(low end of its prior 2–3% range) and announced the suspension of flying at</w:t>
      </w:r>
      <w:r>
        <w:t xml:space="preserve"> </w:t>
      </w:r>
      <w:r>
        <w:rPr>
          <w:b/>
          <w:bCs/>
        </w:rPr>
        <w:t xml:space="preserve">Chicago O'Hare and Washington Dulles</w:t>
      </w:r>
      <w:r>
        <w:t xml:space="preserve">, consolidating into Midway, Reagan National, and Baltimore while redeploying capacity to stronger markets (San Diego, Orlando, Nashville). Watch for updates on how much of this reshuffling is complete and whether further "demand shaping" cuts are coming given the fuel backdrop.</w:t>
      </w:r>
    </w:p>
    <w:p>
      <w:pPr>
        <w:pStyle w:val="BodyText"/>
      </w:pPr>
      <w:r>
        <w:rPr>
          <w:b/>
          <w:bCs/>
        </w:rPr>
        <w:t xml:space="preserve">7. Balance sheet and capital returns.</w:t>
      </w:r>
      <w:r>
        <w:t xml:space="preserve"> </w:t>
      </w:r>
      <w:r>
        <w:t xml:space="preserve">Southwest ended Q1 with</w:t>
      </w:r>
      <w:r>
        <w:t xml:space="preserve"> </w:t>
      </w:r>
      <m:oMath>
        <m:r>
          <m:t>4.8</m:t>
        </m:r>
        <m:r>
          <m:t>b</m:t>
        </m:r>
        <m:r>
          <m:t>i</m:t>
        </m:r>
        <m:r>
          <m:t>l</m:t>
        </m:r>
        <m:r>
          <m:t>l</m:t>
        </m:r>
        <m:r>
          <m:t>i</m:t>
        </m:r>
        <m:r>
          <m:t>o</m:t>
        </m:r>
        <m:r>
          <m:t>n</m:t>
        </m:r>
        <m:r>
          <m:t>i</m:t>
        </m:r>
        <m:r>
          <m:t>n</m:t>
        </m:r>
        <m:r>
          <m:t>l</m:t>
        </m:r>
        <m:r>
          <m:t>i</m:t>
        </m:r>
        <m:r>
          <m:t>q</m:t>
        </m:r>
        <m:r>
          <m:t>u</m:t>
        </m:r>
        <m:r>
          <m:t>i</m:t>
        </m:r>
        <m:r>
          <m:t>d</m:t>
        </m:r>
        <m:r>
          <m:t>i</m:t>
        </m:r>
        <m:r>
          <m:t>t</m:t>
        </m:r>
        <m:r>
          <m:t>y</m:t>
        </m:r>
        <m:r>
          <m:rPr>
            <m:sty m:val="p"/>
          </m:rPr>
          <m:t>*</m:t>
        </m:r>
        <m:r>
          <m:rPr>
            <m:sty m:val="p"/>
          </m:rPr>
          <m:t>*</m:t>
        </m:r>
        <m:r>
          <m:rPr>
            <m:sty m:val="p"/>
          </m:rPr>
          <m:t>,</m:t>
        </m:r>
        <m:r>
          <m:t>a</m:t>
        </m:r>
        <m:r>
          <m:rPr>
            <m:sty m:val="p"/>
          </m:rPr>
          <m:t>*</m:t>
        </m:r>
        <m:r>
          <m:rPr>
            <m:sty m:val="p"/>
          </m:rPr>
          <m:t>*</m:t>
        </m:r>
        <m:r>
          <m:t>2.2</m:t>
        </m:r>
        <m:r>
          <m:t>x</m:t>
        </m:r>
        <m:r>
          <m:t>l</m:t>
        </m:r>
        <m:r>
          <m:t>e</m:t>
        </m:r>
        <m:r>
          <m:t>v</m:t>
        </m:r>
        <m:r>
          <m:t>e</m:t>
        </m:r>
        <m:r>
          <m:t>r</m:t>
        </m:r>
        <m:r>
          <m:t>a</m:t>
        </m:r>
        <m:r>
          <m:t>g</m:t>
        </m:r>
        <m:r>
          <m:t>e</m:t>
        </m:r>
        <m:r>
          <m:t>r</m:t>
        </m:r>
        <m:r>
          <m:t>a</m:t>
        </m:r>
        <m:r>
          <m:t>t</m:t>
        </m:r>
        <m:r>
          <m:t>i</m:t>
        </m:r>
        <m:r>
          <m:t>o</m:t>
        </m:r>
        <m:r>
          <m:rPr>
            <m:sty m:val="p"/>
          </m:rPr>
          <m:t>*</m:t>
        </m:r>
        <m:r>
          <m:rPr>
            <m:sty m:val="p"/>
          </m:rPr>
          <m:t>*</m:t>
        </m:r>
        <m:r>
          <m:rPr>
            <m:sty m:val="p"/>
          </m:rPr>
          <m:t>,</m:t>
        </m:r>
        <m:r>
          <m:t>a</m:t>
        </m:r>
        <m:r>
          <m:t>n</m:t>
        </m:r>
        <m:r>
          <m:t>d</m:t>
        </m:r>
        <m:r>
          <m:t>h</m:t>
        </m:r>
        <m:r>
          <m:t>a</m:t>
        </m:r>
        <m:r>
          <m:t>d</m:t>
        </m:r>
        <m:r>
          <m:t>r</m:t>
        </m:r>
        <m:r>
          <m:t>e</m:t>
        </m:r>
        <m:r>
          <m:t>t</m:t>
        </m:r>
        <m:r>
          <m:t>u</m:t>
        </m:r>
        <m:r>
          <m:t>r</m:t>
        </m:r>
        <m:r>
          <m:t>n</m:t>
        </m:r>
        <m:r>
          <m:t>e</m:t>
        </m:r>
        <m:r>
          <m:t>d</m:t>
        </m:r>
        <m:r>
          <m:rPr>
            <m:sty m:val="p"/>
          </m:rPr>
          <m:t>*</m:t>
        </m:r>
        <m:r>
          <m:rPr>
            <m:sty m:val="p"/>
          </m:rPr>
          <m:t>*</m:t>
        </m:r>
      </m:oMath>
      <w:r>
        <w:rPr>
          <w:b/>
          <w:bCs/>
        </w:rPr>
        <w:t xml:space="preserve">1.3+ billion</w:t>
      </w:r>
      <w:r>
        <w:t xml:space="preserve"> </w:t>
      </w:r>
      <w:r>
        <w:t xml:space="preserve">to shareholders in the quarter via buybacks (</w:t>
      </w:r>
      <m:oMath>
        <m:r>
          <m:t>1.25</m:t>
        </m:r>
        <m:r>
          <m:t>B</m:t>
        </m:r>
        <m:r>
          <m:rPr>
            <m:sty m:val="p"/>
          </m:rPr>
          <m:t>)</m:t>
        </m:r>
        <m:r>
          <m:t>a</m:t>
        </m:r>
        <m:r>
          <m:t>n</m:t>
        </m:r>
        <m:r>
          <m:t>d</m:t>
        </m:r>
        <m:r>
          <m:t>d</m:t>
        </m:r>
        <m:r>
          <m:t>i</m:t>
        </m:r>
        <m:r>
          <m:t>v</m:t>
        </m:r>
        <m:r>
          <m:t>i</m:t>
        </m:r>
        <m:r>
          <m:t>d</m:t>
        </m:r>
        <m:r>
          <m:t>e</m:t>
        </m:r>
        <m:r>
          <m:t>n</m:t>
        </m:r>
        <m:r>
          <m:t>d</m:t>
        </m:r>
        <m:r>
          <m:t>s</m:t>
        </m:r>
        <m:r>
          <m:rPr>
            <m:sty m:val="p"/>
          </m:rPr>
          <m:t>(</m:t>
        </m:r>
      </m:oMath>
      <w:r>
        <w:t xml:space="preserve">93M), with</w:t>
      </w:r>
      <w:r>
        <w:t xml:space="preserve"> </w:t>
      </w:r>
      <w:r>
        <w:rPr>
          <w:b/>
          <w:bCs/>
        </w:rPr>
        <w:t xml:space="preserve">$450 million</w:t>
      </w:r>
      <w:r>
        <w:t xml:space="preserve"> </w:t>
      </w:r>
      <w:r>
        <w:t xml:space="preserve">left on its repurchase authorization. Given elevated fuel costs pressuring free cash flow, watch whether buyback pace continues at the same clip or moderates — management has emphasized its investment-grade balance sheet as a strategic differentiator it intends to protect.</w:t>
      </w:r>
    </w:p>
    <w:p>
      <w:pPr>
        <w:pStyle w:val="BodyText"/>
      </w:pPr>
      <w:r>
        <w:rPr>
          <w:b/>
          <w:bCs/>
        </w:rPr>
        <w:t xml:space="preserve">8. Loyalty, credit card, and ancillary trajectory.</w:t>
      </w:r>
      <w:r>
        <w:t xml:space="preserve"> </w:t>
      </w:r>
      <w:r>
        <w:t xml:space="preserve">Rapid Rewards enrollments were up</w:t>
      </w:r>
      <w:r>
        <w:t xml:space="preserve"> </w:t>
      </w:r>
      <w:r>
        <w:rPr>
          <w:b/>
          <w:bCs/>
        </w:rPr>
        <w:t xml:space="preserve">37%</w:t>
      </w:r>
      <w:r>
        <w:t xml:space="preserve"> </w:t>
      </w:r>
      <w:r>
        <w:t xml:space="preserve">and tier-status earners up</w:t>
      </w:r>
      <w:r>
        <w:t xml:space="preserve"> </w:t>
      </w:r>
      <w:r>
        <w:rPr>
          <w:b/>
          <w:bCs/>
        </w:rPr>
        <w:t xml:space="preserve">62%</w:t>
      </w:r>
      <w:r>
        <w:t xml:space="preserve"> </w:t>
      </w:r>
      <w:r>
        <w:t xml:space="preserve">in Q1; the co-brand card remuneration grew ~8% YoY (management noted this lacks a premium high-fee card option that peers have, implying room to grow). Continued strength here supports the durability of the "customers love the new product" thesis management has repeatedly emphasized.</w:t>
      </w:r>
    </w:p>
    <w:p>
      <w:pPr>
        <w:pStyle w:val="BodyText"/>
      </w:pPr>
      <w:r>
        <w:rPr>
          <w:b/>
          <w:bCs/>
        </w:rPr>
        <w:t xml:space="preserve">9. Competitive and industry backdrop.</w:t>
      </w:r>
      <w:r>
        <w:t xml:space="preserve"> </w:t>
      </w:r>
      <w:r>
        <w:t xml:space="preserve">This quarter's read-through from peers has been broadly favorable: Delta posted a 9% operating margin despite its highest-ever quarterly fuel bill and said it recovered ~60% of the fuel cost increase within the quarter, expecting to approach full recovery in Q3. United beat Q2 estimates and raised guidance despite a $6B fuel hit, citing resilient demand and strong forward bookings. Southwest's own commentary has been notably confident that fare increases are "sticking" across the industry — COO Andrew Watterson noted on the Q1 call that Southwest participated in</w:t>
      </w:r>
      <w:r>
        <w:t xml:space="preserve"> </w:t>
      </w:r>
      <w:r>
        <w:rPr>
          <w:b/>
          <w:bCs/>
        </w:rPr>
        <w:t xml:space="preserve">five industry-wide fare increases</w:t>
      </w:r>
      <w:r>
        <w:t xml:space="preserve"> </w:t>
      </w:r>
      <w:r>
        <w:t xml:space="preserve">since March, with a sixth underway. The Spirit Airlines shutdown and subsequent slot reallocations (e.g., JetBlue picking up former Spirit slots at LaGuardia) also continue to reshape domestic competitive dynamics in Southwest's favor.</w:t>
      </w:r>
    </w:p>
    <w:p>
      <w:r>
        <w:pict>
          <v:rect style="width:0;height:1.5pt" o:hralign="center" o:hrstd="t" o:hr="t"/>
        </w:pict>
      </w:r>
    </w:p>
    <w:bookmarkEnd w:id="11"/>
    <w:bookmarkStart w:id="12" w:name="stock-performance-context"/>
    <w:p>
      <w:pPr>
        <w:pStyle w:val="Heading2"/>
      </w:pPr>
      <w:r>
        <w:t xml:space="preserve">Stock Performance Context</w:t>
      </w:r>
    </w:p>
    <w:p>
      <w:pPr>
        <w:pStyle w:val="FirstParagraph"/>
      </w:pPr>
      <w:r>
        <w:t xml:space="preserve">LUV shares have had a strong run into this print — climbing from roughly</w:t>
      </w:r>
      <w:r>
        <w:t xml:space="preserve"> </w:t>
      </w:r>
      <m:oMath>
        <m:r>
          <m:t>38</m:t>
        </m:r>
        <m:r>
          <m:rPr>
            <m:sty m:val="p"/>
          </m:rPr>
          <m:t>*</m:t>
        </m:r>
        <m:r>
          <m:rPr>
            <m:sty m:val="p"/>
          </m:rPr>
          <m:t>*</m:t>
        </m:r>
        <m:r>
          <m:t>i</m:t>
        </m:r>
        <m:r>
          <m:t>n</m:t>
        </m:r>
        <m:r>
          <m:t>e</m:t>
        </m:r>
        <m:r>
          <m:t>a</m:t>
        </m:r>
        <m:r>
          <m:t>r</m:t>
        </m:r>
        <m:r>
          <m:t>l</m:t>
        </m:r>
        <m:r>
          <m:t>y</m:t>
        </m:r>
        <m:r>
          <m:t>A</m:t>
        </m:r>
        <m:r>
          <m:t>p</m:t>
        </m:r>
        <m:r>
          <m:t>r</m:t>
        </m:r>
        <m:r>
          <m:t>i</m:t>
        </m:r>
        <m:r>
          <m:t>l</m:t>
        </m:r>
        <m:r>
          <m:t>t</m:t>
        </m:r>
        <m:r>
          <m:t>o</m:t>
        </m:r>
        <m:r>
          <m:t>n</m:t>
        </m:r>
        <m:r>
          <m:t>e</m:t>
        </m:r>
        <m:r>
          <m:t>a</m:t>
        </m:r>
        <m:r>
          <m:t>r</m:t>
        </m:r>
        <m:r>
          <m:t>l</m:t>
        </m:r>
        <m:r>
          <m:t>y</m:t>
        </m:r>
        <m:r>
          <m:rPr>
            <m:sty m:val="p"/>
          </m:rPr>
          <m:t>*</m:t>
        </m:r>
        <m:r>
          <m:rPr>
            <m:sty m:val="p"/>
          </m:rPr>
          <m:t>*</m:t>
        </m:r>
      </m:oMath>
      <w:r>
        <w:rPr>
          <w:b/>
          <w:bCs/>
        </w:rPr>
        <w:t xml:space="preserve">52</w:t>
      </w:r>
      <w:r>
        <w:t xml:space="preserve"> </w:t>
      </w:r>
      <w:r>
        <w:t xml:space="preserve">by late June, before pulling back modestly to around</w:t>
      </w:r>
      <w:r>
        <w:t xml:space="preserve"> </w:t>
      </w:r>
      <w:r>
        <w:rPr>
          <w:b/>
          <w:bCs/>
        </w:rPr>
        <w:t xml:space="preserve">$48–49</w:t>
      </w:r>
      <w:r>
        <w:t xml:space="preserve"> </w:t>
      </w:r>
      <w:r>
        <w:t xml:space="preserve">heading into earnings, broadly tracking the sector's recovery as acute war-driven fuel fears eased mid-year, then giving back some gains as tensions resurfaced. That means expectations — and the stock's embedded optimism — are higher than they were at the Q1 print, raising the bar for a "beat and raise" type reaction.</w:t>
      </w:r>
    </w:p>
    <w:p>
      <w:r>
        <w:pict>
          <v:rect style="width:0;height:1.5pt" o:hralign="center" o:hrstd="t" o:hr="t"/>
        </w:pict>
      </w:r>
    </w:p>
    <w:bookmarkEnd w:id="12"/>
    <w:bookmarkStart w:id="13" w:name="bottom-line"/>
    <w:p>
      <w:pPr>
        <w:pStyle w:val="Heading2"/>
      </w:pPr>
      <w:r>
        <w:t xml:space="preserve">Bottom Line</w:t>
      </w:r>
    </w:p>
    <w:p>
      <w:pPr>
        <w:pStyle w:val="FirstParagraph"/>
      </w:pPr>
      <w:r>
        <w:t xml:space="preserve">The core debate for this print isn't really about demand — management, and peers Delta and United, have all described broad-based demand strength and constructive industry pricing behavior. It's about</w:t>
      </w:r>
      <w:r>
        <w:t xml:space="preserve"> </w:t>
      </w:r>
      <w:r>
        <w:rPr>
          <w:b/>
          <w:bCs/>
        </w:rPr>
        <w:t xml:space="preserve">fuel versus fare pass-through, and whether Southwest's transformation initiatives (buy-up, seating monetization, corporate travel, loyalty) are running ahead of plan enough to keep offsetting an unusually volatile fuel environment shaped by the Iran conflict.</w:t>
      </w:r>
      <w:r>
        <w:t xml:space="preserve"> </w:t>
      </w:r>
      <w:r>
        <w:t xml:space="preserve">A result inside or above the</w:t>
      </w:r>
      <w:r>
        <w:t xml:space="preserve"> </w:t>
      </w:r>
      <m:oMath>
        <m:r>
          <m:t>0.35</m:t>
        </m:r>
        <m:r>
          <m:rPr>
            <m:sty m:val="p"/>
          </m:rPr>
          <m:t>–</m:t>
        </m:r>
      </m:oMath>
      <w:r>
        <w:t xml:space="preserve">0.65 guided range, continued RASM outperformance versus the 16.5–18.5% guide, and any signal on reinstating full-year EPS guidance will likely be the biggest swing factors for the stock reaction tomorrow.</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2026-07-22T01:03:15Z</dcterms:created>
  <dcterms:modified xsi:type="dcterms:W3CDTF">2026-07-22T01:03:15Z</dcterms:modified>
</cp:coreProperties>
</file>

<file path=docProps/custom.xml><?xml version="1.0" encoding="utf-8"?>
<Properties xmlns="http://schemas.openxmlformats.org/officeDocument/2006/custom-properties" xmlns:vt="http://schemas.openxmlformats.org/officeDocument/2006/docPropsVTypes"/>
</file>