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f6e3d2bd131fc5e9012f6afdb3da33d2a17a40d"/>
    <w:p>
      <w:pPr>
        <w:pStyle w:val="Heading1"/>
      </w:pPr>
      <w:r>
        <w:t xml:space="preserve">Southwest Airlines (LUV) — Q2 2026 Earnings Preview</w:t>
      </w:r>
    </w:p>
    <w:p>
      <w:pPr>
        <w:pStyle w:val="BlockText"/>
      </w:pPr>
      <w:r>
        <w:rPr>
          <w:b/>
          <w:bCs/>
        </w:rPr>
        <w:t xml:space="preserve">Timing note:</w:t>
      </w:r>
      <w:r>
        <w:t xml:space="preserve"> </w:t>
      </w:r>
      <w:r>
        <w:t xml:space="preserve">July 22, 2026 is</w:t>
      </w:r>
      <w:r>
        <w:t xml:space="preserve"> </w:t>
      </w:r>
      <w:r>
        <w:rPr>
          <w:b/>
          <w:bCs/>
        </w:rPr>
        <w:t xml:space="preserve">today</w:t>
      </w:r>
      <w:r>
        <w:t xml:space="preserve">, not tomorrow. Southwest is expected to release results after the market closes today, with its earnings call scheduled for</w:t>
      </w:r>
      <w:r>
        <w:t xml:space="preserve"> </w:t>
      </w:r>
      <w:r>
        <w:rPr>
          <w:b/>
          <w:bCs/>
        </w:rPr>
        <w:t xml:space="preserve">Thursday, July 23 at 10:00 a.m. ET</w:t>
      </w:r>
      <w:r>
        <w:t xml:space="preserve">. (</w:t>
      </w:r>
      <w:hyperlink r:id="rId9">
        <w:r>
          <w:rPr>
            <w:rStyle w:val="Hyperlink"/>
          </w:rPr>
          <w:t xml:space="preserve">southwestairlinesinvestorrelations.com</w:t>
        </w:r>
      </w:hyperlink>
      <w:r>
        <w:t xml:space="preserve">)</w:t>
      </w:r>
    </w:p>
    <w:bookmarkStart w:id="10" w:name="investment-view-going-into-the-report"/>
    <w:p>
      <w:pPr>
        <w:pStyle w:val="Heading2"/>
      </w:pPr>
      <w:r>
        <w:t xml:space="preserve">Investment view going into the report</w:t>
      </w:r>
    </w:p>
    <w:p>
      <w:pPr>
        <w:pStyle w:val="FirstParagraph"/>
      </w:pPr>
      <w:r>
        <w:t xml:space="preserve">This quarter is primarily a test of whether Southwest’s commercial transformation can produce</w:t>
      </w:r>
      <w:r>
        <w:t xml:space="preserve"> </w:t>
      </w:r>
      <w:r>
        <w:rPr>
          <w:b/>
          <w:bCs/>
        </w:rPr>
        <w:t xml:space="preserve">durable revenue and margin improvement despite sharply higher fuel costs</w:t>
      </w:r>
      <w:r>
        <w:t xml:space="preserve">.</w:t>
      </w:r>
    </w:p>
    <w:p>
      <w:pPr>
        <w:pStyle w:val="BodyText"/>
      </w:pPr>
      <w:r>
        <w:t xml:space="preserve">The headline EPS number matters, but the stock’s reaction is likely to depend more on:</w:t>
      </w:r>
    </w:p>
    <w:p>
      <w:pPr>
        <w:pStyle w:val="Compact"/>
        <w:numPr>
          <w:ilvl w:val="0"/>
          <w:numId w:val="1001"/>
        </w:numPr>
      </w:pPr>
      <w:r>
        <w:t xml:space="preserve">Whether RASM reaches or exceeds management’s unusually strong 16.5%–18.5% forecast.</w:t>
      </w:r>
    </w:p>
    <w:p>
      <w:pPr>
        <w:pStyle w:val="Compact"/>
        <w:numPr>
          <w:ilvl w:val="0"/>
          <w:numId w:val="1001"/>
        </w:numPr>
      </w:pPr>
      <w:r>
        <w:t xml:space="preserve">Whether customers continue to pay for assigned seating, extra-legroom seats and upgraded fare bundles.</w:t>
      </w:r>
    </w:p>
    <w:p>
      <w:pPr>
        <w:pStyle w:val="Compact"/>
        <w:numPr>
          <w:ilvl w:val="0"/>
          <w:numId w:val="1001"/>
        </w:numPr>
      </w:pPr>
      <w:r>
        <w:t xml:space="preserve">How much of the fuel shock has been recovered through higher fares.</w:t>
      </w:r>
    </w:p>
    <w:p>
      <w:pPr>
        <w:pStyle w:val="Compact"/>
        <w:numPr>
          <w:ilvl w:val="0"/>
          <w:numId w:val="1001"/>
        </w:numPr>
      </w:pPr>
      <w:r>
        <w:t xml:space="preserve">Whether management still presents its</w:t>
      </w:r>
      <w:r>
        <w:t xml:space="preserve"> </w:t>
      </w:r>
      <w:r>
        <w:rPr>
          <w:b/>
          <w:bCs/>
        </w:rPr>
        <w:t xml:space="preserve">$4.00 full-year EPS objective</w:t>
      </w:r>
      <w:r>
        <w:t xml:space="preserve"> </w:t>
      </w:r>
      <w:r>
        <w:t xml:space="preserve">as achievable.</w:t>
      </w:r>
    </w:p>
    <w:p>
      <w:pPr>
        <w:pStyle w:val="Compact"/>
        <w:numPr>
          <w:ilvl w:val="0"/>
          <w:numId w:val="1001"/>
        </w:numPr>
      </w:pPr>
      <w:r>
        <w:t xml:space="preserve">The quality of third-quarter revenue, cost and fuel guidance.</w:t>
      </w:r>
    </w:p>
    <w:p>
      <w:pPr>
        <w:pStyle w:val="FirstParagraph"/>
      </w:pPr>
      <w:r>
        <w:t xml:space="preserve">Expectations have risen: LUV trades around $49, and the consensus EPS estimate has increased materially during the past month. A result near the middle of guidance may therefore be viewed as merely adequate rather than a clear positive.</w:t>
      </w:r>
    </w:p>
    <w:p>
      <w:r>
        <w:pict>
          <v:rect style="width:0;height:1.5pt" o:hralign="center" o:hrstd="t" o:hr="t"/>
        </w:pict>
      </w:r>
    </w:p>
    <w:bookmarkEnd w:id="10"/>
    <w:bookmarkStart w:id="13" w:name="the-numbers-to-know"/>
    <w:p>
      <w:pPr>
        <w:pStyle w:val="Heading2"/>
      </w:pPr>
      <w:r>
        <w:t xml:space="preserve">The numbers to know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comparison</w:t>
            </w:r>
          </w:p>
        </w:tc>
      </w:tr>
      <w:tr>
        <w:tc>
          <w:tcPr/>
          <w:p>
            <w:pPr>
              <w:pStyle w:val="Compact"/>
            </w:pPr>
            <w:r>
              <w:t xml:space="preserve">Adjusted EPS</w:t>
            </w:r>
          </w:p>
        </w:tc>
        <w:tc>
          <w:tcPr/>
          <w:p>
            <w:pPr>
              <w:pStyle w:val="Compact"/>
              <w:jc w:val="right"/>
            </w:pPr>
            <m:oMath>
              <m:r>
                <m:t>0.52</m:t>
              </m:r>
              <m:r>
                <m:t>c</m:t>
              </m:r>
              <m:r>
                <m:t>o</m:t>
              </m:r>
              <m:r>
                <m:t>n</m:t>
              </m:r>
              <m:r>
                <m:t>s</m:t>
              </m:r>
              <m:r>
                <m:t>e</m:t>
              </m:r>
              <m:r>
                <m:t>n</m:t>
              </m:r>
              <m:r>
                <m:t>s</m:t>
              </m:r>
              <m:r>
                <m:t>u</m:t>
              </m:r>
              <m:r>
                <m:t>s</m:t>
              </m:r>
              <m:r>
                <m:rPr>
                  <m:sty m:val="p"/>
                </m:rPr>
                <m:t>*</m:t>
              </m:r>
              <m:r>
                <m:rPr>
                  <m:sty m:val="p"/>
                </m:rPr>
                <m:t>*</m:t>
              </m:r>
              <m:r>
                <m:rPr>
                  <m:sty m:val="p"/>
                </m:rPr>
                <m:t>;</m:t>
              </m:r>
              <m:r>
                <m:t>c</m:t>
              </m:r>
              <m:r>
                <m:t>o</m:t>
              </m:r>
              <m:r>
                <m:t>m</m:t>
              </m:r>
              <m:r>
                <m:t>p</m:t>
              </m:r>
              <m:r>
                <m:t>a</m:t>
              </m:r>
              <m:r>
                <m:t>n</m:t>
              </m:r>
              <m:r>
                <m:t>y</m:t>
              </m:r>
              <m:r>
                <m:t>g</m:t>
              </m:r>
              <m:r>
                <m:t>u</m:t>
              </m:r>
              <m:r>
                <m:t>i</m:t>
              </m:r>
              <m:r>
                <m:t>d</m:t>
              </m:r>
              <m:r>
                <m:t>e</m:t>
              </m:r>
              <m:r>
                <m:rPr>
                  <m:sty m:val="p"/>
                </m:rPr>
                <m:t>*</m:t>
              </m:r>
              <m:r>
                <m:rPr>
                  <m:sty m:val="p"/>
                </m:rPr>
                <m:t>*</m:t>
              </m:r>
            </m:oMath>
            <w:r>
              <w:rPr>
                <w:b/>
                <w:bCs/>
              </w:rPr>
              <w:t xml:space="preserve">0.35–$0.65</w:t>
            </w:r>
          </w:p>
        </w:tc>
        <w:tc>
          <w:tcPr/>
          <w:p>
            <w:pPr>
              <w:pStyle w:val="Compact"/>
              <w:jc w:val="right"/>
            </w:pPr>
            <w:r>
              <w:t xml:space="preserve">$0.43</w:t>
            </w:r>
          </w:p>
        </w:tc>
      </w:tr>
      <w:tr>
        <w:tc>
          <w:tcPr/>
          <w:p>
            <w:pPr>
              <w:pStyle w:val="Compact"/>
            </w:pPr>
            <w:r>
              <w:t xml:space="preserve">Operating revenue</w:t>
            </w:r>
          </w:p>
        </w:tc>
        <w:tc>
          <w:tcPr/>
          <w:p>
            <w:pPr>
              <w:pStyle w:val="Compact"/>
              <w:jc w:val="right"/>
            </w:pPr>
            <w:r>
              <w:rPr>
                <w:b/>
                <w:bCs/>
              </w:rPr>
              <w:t xml:space="preserve">$8.58 billion consensus</w:t>
            </w:r>
          </w:p>
        </w:tc>
        <w:tc>
          <w:tcPr/>
          <w:p>
            <w:pPr>
              <w:pStyle w:val="Compact"/>
              <w:jc w:val="right"/>
            </w:pPr>
            <w:r>
              <w:t xml:space="preserve">$7.24 billion</w:t>
            </w:r>
          </w:p>
        </w:tc>
      </w:tr>
      <w:tr>
        <w:tc>
          <w:tcPr/>
          <w:p>
            <w:pPr>
              <w:pStyle w:val="Compact"/>
            </w:pPr>
            <w:r>
              <w:t xml:space="preserve">Passenger revenue</w:t>
            </w:r>
          </w:p>
        </w:tc>
        <w:tc>
          <w:tcPr/>
          <w:p>
            <w:pPr>
              <w:pStyle w:val="Compact"/>
              <w:jc w:val="right"/>
            </w:pPr>
            <w:r>
              <w:t xml:space="preserve">Approximately</w:t>
            </w:r>
            <w:r>
              <w:t xml:space="preserve"> </w:t>
            </w:r>
            <w:r>
              <w:rPr>
                <w:b/>
                <w:bCs/>
              </w:rPr>
              <w:t xml:space="preserve">$7.86 billion consensus</w:t>
            </w:r>
          </w:p>
        </w:tc>
        <w:tc>
          <w:tcPr/>
          <w:p>
            <w:pPr>
              <w:pStyle w:val="Compact"/>
              <w:jc w:val="right"/>
            </w:pPr>
            <w:r>
              <w:t xml:space="preserve">$6.63 billion</w:t>
            </w:r>
          </w:p>
        </w:tc>
      </w:tr>
      <w:tr>
        <w:tc>
          <w:tcPr/>
          <w:p>
            <w:pPr>
              <w:pStyle w:val="Compact"/>
            </w:pPr>
            <w:r>
              <w:t xml:space="preserve">Capacity</w:t>
            </w:r>
          </w:p>
        </w:tc>
        <w:tc>
          <w:tcPr/>
          <w:p>
            <w:pPr>
              <w:pStyle w:val="Compact"/>
              <w:jc w:val="right"/>
            </w:pPr>
            <w:r>
              <w:t xml:space="preserve">Flat to</w:t>
            </w:r>
            <w:r>
              <w:t xml:space="preserve"> </w:t>
            </w:r>
            <w:r>
              <w:rPr>
                <w:b/>
                <w:bCs/>
              </w:rPr>
              <w:t xml:space="preserve">+1%</w:t>
            </w:r>
            <w:r>
              <w:t xml:space="preserve"> </w:t>
            </w:r>
            <w:r>
              <w:t xml:space="preserve">company guide; approximately 47.1 billion ASMs consensus</w:t>
            </w:r>
          </w:p>
        </w:tc>
        <w:tc>
          <w:tcPr/>
          <w:p>
            <w:pPr>
              <w:pStyle w:val="Compact"/>
              <w:jc w:val="right"/>
            </w:pPr>
            <w:r>
              <w:t xml:space="preserve">+1.6%</w:t>
            </w:r>
          </w:p>
        </w:tc>
      </w:tr>
      <w:tr>
        <w:tc>
          <w:tcPr/>
          <w:p>
            <w:pPr>
              <w:pStyle w:val="Compact"/>
            </w:pPr>
            <w:r>
              <w:t xml:space="preserve">RASM</w:t>
            </w:r>
          </w:p>
        </w:tc>
        <w:tc>
          <w:tcPr/>
          <w:p>
            <w:pPr>
              <w:pStyle w:val="Compact"/>
              <w:jc w:val="right"/>
            </w:pPr>
            <w:r>
              <w:rPr>
                <w:b/>
                <w:bCs/>
              </w:rPr>
              <w:t xml:space="preserve">+16.5% to +18.5%</w:t>
            </w:r>
            <w:r>
              <w:t xml:space="preserve"> </w:t>
            </w:r>
            <w:r>
              <w:t xml:space="preserve">company guide</w:t>
            </w:r>
          </w:p>
        </w:tc>
        <w:tc>
          <w:tcPr/>
          <w:p>
            <w:pPr>
              <w:pStyle w:val="Compact"/>
              <w:jc w:val="right"/>
            </w:pPr>
            <w:r>
              <w:t xml:space="preserve">-3.1%</w:t>
            </w:r>
          </w:p>
        </w:tc>
      </w:tr>
      <w:tr>
        <w:tc>
          <w:tcPr/>
          <w:p>
            <w:pPr>
              <w:pStyle w:val="Compact"/>
            </w:pPr>
            <w:r>
              <w:t xml:space="preserve">CASM-X</w:t>
            </w:r>
          </w:p>
        </w:tc>
        <w:tc>
          <w:tcPr/>
          <w:p>
            <w:pPr>
              <w:pStyle w:val="Compact"/>
              <w:jc w:val="right"/>
            </w:pPr>
            <w:r>
              <w:rPr>
                <w:b/>
                <w:bCs/>
              </w:rPr>
              <w:t xml:space="preserve">+3.5% to +4.0%</w:t>
            </w:r>
            <w:r>
              <w:t xml:space="preserve"> </w:t>
            </w:r>
            <w:r>
              <w:t xml:space="preserve">company guide</w:t>
            </w:r>
          </w:p>
        </w:tc>
        <w:tc>
          <w:tcPr/>
          <w:p>
            <w:pPr>
              <w:pStyle w:val="Compact"/>
              <w:jc w:val="right"/>
            </w:pPr>
            <w:r>
              <w:t xml:space="preserve">+4.7%</w:t>
            </w:r>
          </w:p>
        </w:tc>
      </w:tr>
      <w:tr>
        <w:tc>
          <w:tcPr/>
          <w:p>
            <w:pPr>
              <w:pStyle w:val="Compact"/>
            </w:pPr>
            <w:r>
              <w:t xml:space="preserve">Fuel cost per gallon</w:t>
            </w:r>
          </w:p>
        </w:tc>
        <w:tc>
          <w:tcPr/>
          <w:p>
            <w:pPr>
              <w:pStyle w:val="Compact"/>
              <w:jc w:val="right"/>
            </w:pPr>
            <m:oMath>
              <m:r>
                <m:t>4.10</m:t>
              </m:r>
              <m:r>
                <m:rPr>
                  <m:sty m:val="p"/>
                </m:rPr>
                <m:t>–</m:t>
              </m:r>
            </m:oMath>
            <w:r>
              <w:rPr>
                <w:b/>
                <w:bCs/>
              </w:rPr>
              <w:t xml:space="preserve">4.15</w:t>
            </w:r>
            <w:r>
              <w:t xml:space="preserve"> </w:t>
            </w:r>
            <w:r>
              <w:t xml:space="preserve">company assumption</w:t>
            </w:r>
          </w:p>
        </w:tc>
        <w:tc>
          <w:tcPr/>
          <w:p>
            <w:pPr>
              <w:pStyle w:val="Compact"/>
              <w:jc w:val="right"/>
            </w:pPr>
            <w:r>
              <w:t xml:space="preserve">$2.32</w:t>
            </w:r>
          </w:p>
        </w:tc>
      </w:tr>
      <w:tr>
        <w:tc>
          <w:tcPr/>
          <w:p>
            <w:pPr>
              <w:pStyle w:val="Compact"/>
            </w:pPr>
            <w:r>
              <w:t xml:space="preserve">Load factor</w:t>
            </w:r>
          </w:p>
        </w:tc>
        <w:tc>
          <w:tcPr/>
          <w:p>
            <w:pPr>
              <w:pStyle w:val="Compact"/>
              <w:jc w:val="right"/>
            </w:pPr>
            <w:r>
              <w:t xml:space="preserve">Approximately</w:t>
            </w:r>
            <w:r>
              <w:t xml:space="preserve"> </w:t>
            </w:r>
            <w:r>
              <w:rPr>
                <w:b/>
                <w:bCs/>
              </w:rPr>
              <w:t xml:space="preserve">81.4% consensus</w:t>
            </w:r>
          </w:p>
        </w:tc>
        <w:tc>
          <w:tcPr/>
          <w:p>
            <w:pPr>
              <w:pStyle w:val="Compact"/>
              <w:jc w:val="right"/>
            </w:pPr>
            <w:r>
              <w:t xml:space="preserve">78.5%</w:t>
            </w:r>
          </w:p>
        </w:tc>
      </w:tr>
    </w:tbl>
    <w:p>
      <w:pPr>
        <w:pStyle w:val="BodyText"/>
      </w:pPr>
      <w:r>
        <w:t xml:space="preserve">Current consensus calls for $0.52 of EPS and $8.58 billion of revenue, with consensus revenue implying RASM growth of roughly 18%—near the upper end of management’s forecast. Analysts also expect approximately 38.5 billion revenue-passenger miles and 47.1 billion available-seat miles. (</w:t>
      </w:r>
      <w:hyperlink r:id="rId11">
        <w:r>
          <w:rPr>
            <w:rStyle w:val="Hyperlink"/>
          </w:rPr>
          <w:t xml:space="preserve">zacks.com</w:t>
        </w:r>
      </w:hyperlink>
      <w:r>
        <w:t xml:space="preserve">)</w:t>
      </w:r>
    </w:p>
    <w:p>
      <w:pPr>
        <w:pStyle w:val="BodyText"/>
      </w:pPr>
      <w:r>
        <w:t xml:space="preserve">Southwest’s official guidance calls for</w:t>
      </w:r>
      <w:r>
        <w:t xml:space="preserve"> </w:t>
      </w:r>
      <m:oMath>
        <m:r>
          <m:t>0.35</m:t>
        </m:r>
        <m:r>
          <m:rPr>
            <m:sty m:val="p"/>
          </m:rPr>
          <m:t>–</m:t>
        </m:r>
      </m:oMath>
      <w:r>
        <w:t xml:space="preserve">0.65 of adjusted EPS, RASM growth of 16.5%–18.5%, CASM-X growth of 3.5%–4.0%, and capacity ranging from flat to up 1%. (</w:t>
      </w:r>
      <w:hyperlink r:id="rId12">
        <w:r>
          <w:rPr>
            <w:rStyle w:val="Hyperlink"/>
          </w:rPr>
          <w:t xml:space="preserve">southwestairlinesinvestorrelations.com</w:t>
        </w:r>
      </w:hyperlink>
      <w:r>
        <w:t xml:space="preserve">)</w:t>
      </w:r>
    </w:p>
    <w:bookmarkEnd w:id="13"/>
    <w:bookmarkStart w:id="14" w:name="Xf0281c822d08316d604fa150a40cca9b7fe6df8"/>
    <w:p>
      <w:pPr>
        <w:pStyle w:val="Heading2"/>
      </w:pPr>
      <w:r>
        <w:t xml:space="preserve">Why the EPS hurdle may be higher than it appears</w:t>
      </w:r>
    </w:p>
    <w:p>
      <w:pPr>
        <w:pStyle w:val="FirstParagraph"/>
      </w:pPr>
      <w:r>
        <w:t xml:space="preserve">The consensus estimate of $0.52 is only slightly above the $0.50 midpoint of management’s range. However:</w:t>
      </w:r>
    </w:p>
    <w:p>
      <w:pPr>
        <w:pStyle w:val="Compact"/>
        <w:numPr>
          <w:ilvl w:val="0"/>
          <w:numId w:val="1002"/>
        </w:numPr>
      </w:pPr>
      <w:r>
        <w:t xml:space="preserve">The estimate has reportedly risen by roughly 35% over the past month.</w:t>
      </w:r>
    </w:p>
    <w:p>
      <w:pPr>
        <w:pStyle w:val="Compact"/>
        <w:numPr>
          <w:ilvl w:val="0"/>
          <w:numId w:val="1002"/>
        </w:numPr>
      </w:pPr>
      <w:r>
        <w:t xml:space="preserve">Consensus revenue implies RASM near the top of guidance.</w:t>
      </w:r>
    </w:p>
    <w:p>
      <w:pPr>
        <w:pStyle w:val="Compact"/>
        <w:numPr>
          <w:ilvl w:val="0"/>
          <w:numId w:val="1002"/>
        </w:numPr>
      </w:pPr>
      <w:r>
        <w:t xml:space="preserve">Delta and United have already reported strong domestic yields and corporate demand.</w:t>
      </w:r>
    </w:p>
    <w:p>
      <w:pPr>
        <w:pStyle w:val="Compact"/>
        <w:numPr>
          <w:ilvl w:val="0"/>
          <w:numId w:val="1002"/>
        </w:numPr>
      </w:pPr>
      <w:r>
        <w:t xml:space="preserve">LUV shares have rallied substantially since the first-quarter report.</w:t>
      </w:r>
    </w:p>
    <w:p>
      <w:pPr>
        <w:pStyle w:val="FirstParagraph"/>
      </w:pPr>
      <w:r>
        <w:t xml:space="preserve">Accordingly,</w:t>
      </w:r>
      <w:r>
        <w:t xml:space="preserve"> </w:t>
      </w:r>
      <w:r>
        <w:rPr>
          <w:b/>
          <w:bCs/>
        </w:rPr>
        <w:t xml:space="preserve">an EPS beat driven only by below-plan fuel consumption or accounting items may not be enough</w:t>
      </w:r>
      <w:r>
        <w:t xml:space="preserve">. Investors will want to see revenue quality, sustainable buy-up behavior and a constructive third-quarter outlook. (</w:t>
      </w:r>
      <w:hyperlink r:id="rId11">
        <w:r>
          <w:rPr>
            <w:rStyle w:val="Hyperlink"/>
          </w:rPr>
          <w:t xml:space="preserve">zacks.com</w:t>
        </w:r>
      </w:hyperlink>
      <w:r>
        <w:t xml:space="preserve">)</w:t>
      </w:r>
    </w:p>
    <w:p>
      <w:r>
        <w:pict>
          <v:rect style="width:0;height:1.5pt" o:hralign="center" o:hrstd="t" o:hr="t"/>
        </w:pict>
      </w:r>
    </w:p>
    <w:bookmarkEnd w:id="14"/>
    <w:bookmarkStart w:id="18" w:name="X116f595c8faaf5191d0fd54442649e5c7711c44"/>
    <w:p>
      <w:pPr>
        <w:pStyle w:val="Heading2"/>
      </w:pPr>
      <w:r>
        <w:t xml:space="preserve">1. The central question: Is the transformation producing durable pricing power?</w:t>
      </w:r>
    </w:p>
    <w:p>
      <w:pPr>
        <w:pStyle w:val="FirstParagraph"/>
      </w:pPr>
      <w:r>
        <w:t xml:space="preserve">Q2 is the first full quarter in which Southwest’s transformed commercial model is operating at scale. The major components include:</w:t>
      </w:r>
    </w:p>
    <w:p>
      <w:pPr>
        <w:pStyle w:val="Compact"/>
        <w:numPr>
          <w:ilvl w:val="0"/>
          <w:numId w:val="1003"/>
        </w:numPr>
      </w:pPr>
      <w:r>
        <w:t xml:space="preserve">Assigned seating.</w:t>
      </w:r>
    </w:p>
    <w:p>
      <w:pPr>
        <w:pStyle w:val="Compact"/>
        <w:numPr>
          <w:ilvl w:val="0"/>
          <w:numId w:val="1003"/>
        </w:numPr>
      </w:pPr>
      <w:r>
        <w:t xml:space="preserve">Extra-legroom seating.</w:t>
      </w:r>
    </w:p>
    <w:p>
      <w:pPr>
        <w:pStyle w:val="Compact"/>
        <w:numPr>
          <w:ilvl w:val="0"/>
          <w:numId w:val="1003"/>
        </w:numPr>
      </w:pPr>
      <w:r>
        <w:t xml:space="preserve">New fare bundles and basic economy.</w:t>
      </w:r>
    </w:p>
    <w:p>
      <w:pPr>
        <w:pStyle w:val="Compact"/>
        <w:numPr>
          <w:ilvl w:val="0"/>
          <w:numId w:val="1003"/>
        </w:numPr>
      </w:pPr>
      <w:r>
        <w:t xml:space="preserve">Checked-bag fees.</w:t>
      </w:r>
    </w:p>
    <w:p>
      <w:pPr>
        <w:pStyle w:val="Compact"/>
        <w:numPr>
          <w:ilvl w:val="0"/>
          <w:numId w:val="1003"/>
        </w:numPr>
      </w:pPr>
      <w:r>
        <w:t xml:space="preserve">More dynamic ancillary pricing.</w:t>
      </w:r>
    </w:p>
    <w:p>
      <w:pPr>
        <w:pStyle w:val="Compact"/>
        <w:numPr>
          <w:ilvl w:val="0"/>
          <w:numId w:val="1003"/>
        </w:numPr>
      </w:pPr>
      <w:r>
        <w:t xml:space="preserve">Revised Rapid Rewards economics.</w:t>
      </w:r>
    </w:p>
    <w:p>
      <w:pPr>
        <w:pStyle w:val="Compact"/>
        <w:numPr>
          <w:ilvl w:val="0"/>
          <w:numId w:val="1003"/>
        </w:numPr>
      </w:pPr>
      <w:r>
        <w:t xml:space="preserve">Improved distribution through online travel agencies.</w:t>
      </w:r>
    </w:p>
    <w:p>
      <w:pPr>
        <w:pStyle w:val="Compact"/>
        <w:numPr>
          <w:ilvl w:val="0"/>
          <w:numId w:val="1003"/>
        </w:numPr>
      </w:pPr>
      <w:r>
        <w:t xml:space="preserve">Network and schedule optimization.</w:t>
      </w:r>
    </w:p>
    <w:p>
      <w:pPr>
        <w:pStyle w:val="FirstParagraph"/>
      </w:pPr>
      <w:r>
        <w:t xml:space="preserve">The first-quarter evidence was encouraging. RASM increased 11.2%, approximately 60% of customers bought above the base product versus roughly 20% in 2025, and managed-business revenue increased 16% for the quarter and 25% in March. Management indicated that at least half of the first-quarter yield increase came from customers voluntarily buying higher-priced products. (</w:t>
      </w:r>
      <w:hyperlink r:id="rId12">
        <w:r>
          <w:rPr>
            <w:rStyle w:val="Hyperlink"/>
          </w:rPr>
          <w:t xml:space="preserve">southwestairlinesinvestorrelations.com</w:t>
        </w:r>
      </w:hyperlink>
      <w:r>
        <w:t xml:space="preserve">)</w:t>
      </w:r>
    </w:p>
    <w:bookmarkStart w:id="16" w:name="what-would-count-as-a-strong-q2-result"/>
    <w:p>
      <w:pPr>
        <w:pStyle w:val="Heading3"/>
      </w:pPr>
      <w:r>
        <w:t xml:space="preserve">What would count as a strong Q2 result?</w:t>
      </w:r>
    </w:p>
    <w:p>
      <w:pPr>
        <w:pStyle w:val="Compact"/>
        <w:numPr>
          <w:ilvl w:val="0"/>
          <w:numId w:val="1004"/>
        </w:numPr>
      </w:pPr>
      <w:r>
        <w:t xml:space="preserve">RASM at or above the</w:t>
      </w:r>
      <w:r>
        <w:t xml:space="preserve"> </w:t>
      </w:r>
      <w:r>
        <w:rPr>
          <w:b/>
          <w:bCs/>
        </w:rPr>
        <w:t xml:space="preserve">18.5% upper end</w:t>
      </w:r>
      <w:r>
        <w:t xml:space="preserve">.</w:t>
      </w:r>
    </w:p>
    <w:p>
      <w:pPr>
        <w:pStyle w:val="Compact"/>
        <w:numPr>
          <w:ilvl w:val="0"/>
          <w:numId w:val="1004"/>
        </w:numPr>
      </w:pPr>
      <w:r>
        <w:t xml:space="preserve">Continued load-factor recovery alongside higher yields.</w:t>
      </w:r>
    </w:p>
    <w:p>
      <w:pPr>
        <w:pStyle w:val="Compact"/>
        <w:numPr>
          <w:ilvl w:val="0"/>
          <w:numId w:val="1004"/>
        </w:numPr>
      </w:pPr>
      <w:r>
        <w:t xml:space="preserve">Buy-up rates holding near or above the first quarter’s 60%.</w:t>
      </w:r>
    </w:p>
    <w:p>
      <w:pPr>
        <w:pStyle w:val="Compact"/>
        <w:numPr>
          <w:ilvl w:val="0"/>
          <w:numId w:val="1004"/>
        </w:numPr>
      </w:pPr>
      <w:r>
        <w:t xml:space="preserve">Corporate revenue continuing to grow materially faster than leisure revenue.</w:t>
      </w:r>
    </w:p>
    <w:p>
      <w:pPr>
        <w:pStyle w:val="Compact"/>
        <w:numPr>
          <w:ilvl w:val="0"/>
          <w:numId w:val="1004"/>
        </w:numPr>
      </w:pPr>
      <w:r>
        <w:t xml:space="preserve">Seat-upgrade and bag-fee revenue meeting or exceeding internal plans.</w:t>
      </w:r>
    </w:p>
    <w:p>
      <w:pPr>
        <w:pStyle w:val="Compact"/>
        <w:numPr>
          <w:ilvl w:val="0"/>
          <w:numId w:val="1004"/>
        </w:numPr>
      </w:pPr>
      <w:r>
        <w:t xml:space="preserve">Evidence that higher fares have not caused material demand destruction.</w:t>
      </w:r>
    </w:p>
    <w:p>
      <w:pPr>
        <w:pStyle w:val="FirstParagraph"/>
      </w:pPr>
      <w:r>
        <w:t xml:space="preserve">Southwest’s revenue growth should be evaluated against an easy comparison—Q2 2025 RASM declined 3.1%—but the expected magnitude remains notable. Consensus revenue implies approximately 18.2 cents of RASM, versus 15.41 cents last year. (</w:t>
      </w:r>
      <w:hyperlink r:id="rId15">
        <w:r>
          <w:rPr>
            <w:rStyle w:val="Hyperlink"/>
          </w:rPr>
          <w:t xml:space="preserve">southwestairlinesinvestorrelations.com</w:t>
        </w:r>
      </w:hyperlink>
      <w:r>
        <w:t xml:space="preserve">)</w:t>
      </w:r>
    </w:p>
    <w:bookmarkEnd w:id="16"/>
    <w:bookmarkStart w:id="17" w:name="the-risk"/>
    <w:p>
      <w:pPr>
        <w:pStyle w:val="Heading3"/>
      </w:pPr>
      <w:r>
        <w:t xml:space="preserve">The risk</w:t>
      </w:r>
    </w:p>
    <w:p>
      <w:pPr>
        <w:pStyle w:val="FirstParagraph"/>
      </w:pPr>
      <w:r>
        <w:t xml:space="preserve">Strong revenue growth could be partly mechanical rather than fully structural: a weak year-ago comparison, industry fare increases following the fuel spike, and fewer discounted seats may all help. The important distinction is whether volumes remain stable while customers continue buying better products.</w:t>
      </w:r>
    </w:p>
    <w:p>
      <w:r>
        <w:pict>
          <v:rect style="width:0;height:1.5pt" o:hralign="center" o:hrstd="t" o:hr="t"/>
        </w:pict>
      </w:r>
    </w:p>
    <w:bookmarkEnd w:id="17"/>
    <w:bookmarkEnd w:id="18"/>
    <w:bookmarkStart w:id="21" w:name="X0d617832e506dcde64d1a4aae35d0a61d62fc2a"/>
    <w:p>
      <w:pPr>
        <w:pStyle w:val="Heading2"/>
      </w:pPr>
      <w:r>
        <w:t xml:space="preserve">2. Fuel will determine how much revenue growth reaches the bottom line</w:t>
      </w:r>
    </w:p>
    <w:p>
      <w:pPr>
        <w:pStyle w:val="FirstParagraph"/>
      </w:pPr>
      <w:r>
        <w:t xml:space="preserve">Southwest assumed Q2 fuel cost of</w:t>
      </w:r>
      <w:r>
        <w:t xml:space="preserve"> </w:t>
      </w:r>
      <m:oMath>
        <m:r>
          <m:t>4.10</m:t>
        </m:r>
        <m:r>
          <m:rPr>
            <m:sty m:val="p"/>
          </m:rPr>
          <m:t>–</m:t>
        </m:r>
      </m:oMath>
      <w:r>
        <w:rPr>
          <w:b/>
          <w:bCs/>
        </w:rPr>
        <w:t xml:space="preserve">4.15 per gallon</w:t>
      </w:r>
      <w:r>
        <w:t xml:space="preserve">, dramatically above last year’s</w:t>
      </w:r>
      <w:r>
        <w:t xml:space="preserve"> </w:t>
      </w:r>
      <m:oMath>
        <m:r>
          <m:t>2.32</m:t>
        </m:r>
        <m:r>
          <m:rPr>
            <m:sty m:val="p"/>
          </m:rPr>
          <m:t>.</m:t>
        </m:r>
        <m:r>
          <m:t>A</m:t>
        </m:r>
        <m:r>
          <m:t>t</m:t>
        </m:r>
        <m:r>
          <m:t>t</m:t>
        </m:r>
        <m:r>
          <m:t>h</m:t>
        </m:r>
        <m:r>
          <m:t>e</m:t>
        </m:r>
        <m:r>
          <m:t>m</m:t>
        </m:r>
        <m:r>
          <m:t>i</m:t>
        </m:r>
        <m:r>
          <m:t>d</m:t>
        </m:r>
        <m:r>
          <m:t>p</m:t>
        </m:r>
        <m:r>
          <m:t>o</m:t>
        </m:r>
        <m:r>
          <m:t>i</m:t>
        </m:r>
        <m:r>
          <m:t>n</m:t>
        </m:r>
        <m:r>
          <m:t>t</m:t>
        </m:r>
        <m:r>
          <m:rPr>
            <m:sty m:val="p"/>
          </m:rPr>
          <m:t>,</m:t>
        </m:r>
        <m:r>
          <m:t>a</m:t>
        </m:r>
        <m:r>
          <m:t>n</m:t>
        </m:r>
        <m:r>
          <m:t>d</m:t>
        </m:r>
        <m:r>
          <m:t>u</m:t>
        </m:r>
        <m:r>
          <m:t>s</m:t>
        </m:r>
        <m:r>
          <m:t>i</m:t>
        </m:r>
        <m:r>
          <m:t>n</m:t>
        </m:r>
        <m:r>
          <m:t>g</m:t>
        </m:r>
        <m:r>
          <m:t>c</m:t>
        </m:r>
        <m:r>
          <m:t>o</m:t>
        </m:r>
        <m:r>
          <m:t>n</m:t>
        </m:r>
        <m:r>
          <m:t>s</m:t>
        </m:r>
        <m:r>
          <m:t>e</m:t>
        </m:r>
        <m:r>
          <m:t>n</m:t>
        </m:r>
        <m:r>
          <m:t>s</m:t>
        </m:r>
        <m:r>
          <m:t>u</m:t>
        </m:r>
        <m:r>
          <m:t>s</m:t>
        </m:r>
        <m:r>
          <m:t>c</m:t>
        </m:r>
        <m:r>
          <m:t>o</m:t>
        </m:r>
        <m:r>
          <m:t>n</m:t>
        </m:r>
        <m:r>
          <m:t>s</m:t>
        </m:r>
        <m:r>
          <m:t>u</m:t>
        </m:r>
        <m:r>
          <m:t>m</m:t>
        </m:r>
        <m:r>
          <m:t>p</m:t>
        </m:r>
        <m:r>
          <m:t>t</m:t>
        </m:r>
        <m:r>
          <m:t>i</m:t>
        </m:r>
        <m:r>
          <m:t>o</m:t>
        </m:r>
        <m:r>
          <m:t>n</m:t>
        </m:r>
        <m:r>
          <m:t>o</m:t>
        </m:r>
        <m:r>
          <m:t>f</m:t>
        </m:r>
        <m:r>
          <m:t>a</m:t>
        </m:r>
        <m:r>
          <m:t>p</m:t>
        </m:r>
        <m:r>
          <m:t>p</m:t>
        </m:r>
        <m:r>
          <m:t>r</m:t>
        </m:r>
        <m:r>
          <m:t>o</m:t>
        </m:r>
        <m:r>
          <m:t>x</m:t>
        </m:r>
        <m:r>
          <m:t>i</m:t>
        </m:r>
        <m:r>
          <m:t>m</m:t>
        </m:r>
        <m:r>
          <m:t>a</m:t>
        </m:r>
        <m:r>
          <m:t>t</m:t>
        </m:r>
        <m:r>
          <m:t>e</m:t>
        </m:r>
        <m:r>
          <m:t>l</m:t>
        </m:r>
        <m:r>
          <m:t>y</m:t>
        </m:r>
        <m:r>
          <m:t>544</m:t>
        </m:r>
        <m:r>
          <m:t>m</m:t>
        </m:r>
        <m:r>
          <m:t>i</m:t>
        </m:r>
        <m:r>
          <m:t>l</m:t>
        </m:r>
        <m:r>
          <m:t>l</m:t>
        </m:r>
        <m:r>
          <m:t>i</m:t>
        </m:r>
        <m:r>
          <m:t>o</m:t>
        </m:r>
        <m:r>
          <m:t>n</m:t>
        </m:r>
        <m:r>
          <m:t>g</m:t>
        </m:r>
        <m:r>
          <m:t>a</m:t>
        </m:r>
        <m:r>
          <m:t>l</m:t>
        </m:r>
        <m:r>
          <m:t>l</m:t>
        </m:r>
        <m:r>
          <m:t>o</m:t>
        </m:r>
        <m:r>
          <m:t>n</m:t>
        </m:r>
        <m:r>
          <m:t>s</m:t>
        </m:r>
        <m:r>
          <m:rPr>
            <m:sty m:val="p"/>
          </m:rPr>
          <m:t>,</m:t>
        </m:r>
        <m:r>
          <m:t>q</m:t>
        </m:r>
        <m:r>
          <m:t>u</m:t>
        </m:r>
        <m:r>
          <m:t>a</m:t>
        </m:r>
        <m:r>
          <m:t>r</m:t>
        </m:r>
        <m:r>
          <m:t>t</m:t>
        </m:r>
        <m:r>
          <m:t>e</m:t>
        </m:r>
        <m:r>
          <m:t>r</m:t>
        </m:r>
        <m:r>
          <m:t>l</m:t>
        </m:r>
        <m:r>
          <m:t>y</m:t>
        </m:r>
        <m:r>
          <m:t>f</m:t>
        </m:r>
        <m:r>
          <m:t>u</m:t>
        </m:r>
        <m:r>
          <m:t>e</m:t>
        </m:r>
        <m:r>
          <m:t>l</m:t>
        </m:r>
        <m:r>
          <m:t>e</m:t>
        </m:r>
        <m:r>
          <m:t>x</m:t>
        </m:r>
        <m:r>
          <m:t>p</m:t>
        </m:r>
        <m:r>
          <m:t>e</m:t>
        </m:r>
        <m:r>
          <m:t>n</m:t>
        </m:r>
        <m:r>
          <m:t>s</m:t>
        </m:r>
        <m:r>
          <m:t>e</m:t>
        </m:r>
        <m:r>
          <m:t>w</m:t>
        </m:r>
        <m:r>
          <m:t>o</m:t>
        </m:r>
        <m:r>
          <m:t>u</m:t>
        </m:r>
        <m:r>
          <m:t>l</m:t>
        </m:r>
        <m:r>
          <m:t>d</m:t>
        </m:r>
        <m:r>
          <m:t>b</m:t>
        </m:r>
        <m:r>
          <m:t>e</m:t>
        </m:r>
        <m:r>
          <m:t>a</m:t>
        </m:r>
        <m:r>
          <m:t>r</m:t>
        </m:r>
        <m:r>
          <m:t>o</m:t>
        </m:r>
        <m:r>
          <m:t>u</m:t>
        </m:r>
        <m:r>
          <m:t>n</m:t>
        </m:r>
        <m:r>
          <m:t>d</m:t>
        </m:r>
        <m:r>
          <m:rPr>
            <m:sty m:val="p"/>
          </m:rPr>
          <m:t>*</m:t>
        </m:r>
        <m:r>
          <m:rPr>
            <m:sty m:val="p"/>
          </m:rPr>
          <m:t>*</m:t>
        </m:r>
      </m:oMath>
      <w:r>
        <w:t xml:space="preserve">2.24 billion**—roughly $900 million more than one year ago.</w:t>
      </w:r>
    </w:p>
    <w:p>
      <w:pPr>
        <w:pStyle w:val="BodyText"/>
      </w:pPr>
      <w:r>
        <w:t xml:space="preserve">Southwest no longer has an active fuel-hedging portfolio, making it more directly exposed to market prices. Management previously characterized the Q2 fuel increase as an approximately</w:t>
      </w:r>
      <w:r>
        <w:t xml:space="preserve"> </w:t>
      </w:r>
      <w:r>
        <w:rPr>
          <w:b/>
          <w:bCs/>
        </w:rPr>
        <w:t xml:space="preserve">$1 billion expense headwind</w:t>
      </w:r>
      <w:r>
        <w:t xml:space="preserve">, or roughly ten points of margin.</w:t>
      </w:r>
    </w:p>
    <w:p>
      <w:pPr>
        <w:pStyle w:val="BodyText"/>
      </w:pPr>
      <w:r>
        <w:t xml:space="preserve">Peer reports confirm the severity of the shock:</w:t>
      </w:r>
    </w:p>
    <w:p>
      <w:pPr>
        <w:pStyle w:val="Compact"/>
        <w:numPr>
          <w:ilvl w:val="0"/>
          <w:numId w:val="1005"/>
        </w:numPr>
      </w:pPr>
      <w:r>
        <w:t xml:space="preserve">Delta reported adjusted fuel cost of $3.93 per gallon.</w:t>
      </w:r>
    </w:p>
    <w:p>
      <w:pPr>
        <w:pStyle w:val="Compact"/>
        <w:numPr>
          <w:ilvl w:val="0"/>
          <w:numId w:val="1005"/>
        </w:numPr>
      </w:pPr>
      <w:r>
        <w:t xml:space="preserve">United reported $4.19 per gallon and said it recovered approximately half of its year-over-year fuel increase during Q2.</w:t>
      </w:r>
    </w:p>
    <w:p>
      <w:pPr>
        <w:pStyle w:val="Compact"/>
        <w:numPr>
          <w:ilvl w:val="0"/>
          <w:numId w:val="1005"/>
        </w:numPr>
      </w:pPr>
      <w:r>
        <w:t xml:space="preserve">Both carriers nevertheless reported double-digit unit-revenue growth. (</w:t>
      </w:r>
      <w:hyperlink r:id="rId19">
        <w:r>
          <w:rPr>
            <w:rStyle w:val="Hyperlink"/>
          </w:rPr>
          <w:t xml:space="preserve">ir.delta.com</w:t>
        </w:r>
      </w:hyperlink>
      <w:r>
        <w:t xml:space="preserve">)</w:t>
      </w:r>
    </w:p>
    <w:bookmarkStart w:id="20" w:name="what-investors-should-watch"/>
    <w:p>
      <w:pPr>
        <w:pStyle w:val="Heading3"/>
      </w:pPr>
      <w:r>
        <w:t xml:space="preserve">What investors should watch</w:t>
      </w:r>
    </w:p>
    <w:p>
      <w:pPr>
        <w:pStyle w:val="Compact"/>
        <w:numPr>
          <w:ilvl w:val="0"/>
          <w:numId w:val="1006"/>
        </w:numPr>
      </w:pPr>
      <w:r>
        <w:t xml:space="preserve">Actual fuel price versus the</w:t>
      </w:r>
      <w:r>
        <w:t xml:space="preserve"> </w:t>
      </w:r>
      <m:oMath>
        <m:r>
          <m:t>4.10</m:t>
        </m:r>
        <m:r>
          <m:rPr>
            <m:sty m:val="p"/>
          </m:rPr>
          <m:t>–</m:t>
        </m:r>
      </m:oMath>
      <w:r>
        <w:t xml:space="preserve">4.15 assumption.</w:t>
      </w:r>
    </w:p>
    <w:p>
      <w:pPr>
        <w:pStyle w:val="Compact"/>
        <w:numPr>
          <w:ilvl w:val="0"/>
          <w:numId w:val="1006"/>
        </w:numPr>
      </w:pPr>
      <w:r>
        <w:t xml:space="preserve">The estimated percentage of incremental fuel expense recovered through fares.</w:t>
      </w:r>
    </w:p>
    <w:p>
      <w:pPr>
        <w:pStyle w:val="Compact"/>
        <w:numPr>
          <w:ilvl w:val="0"/>
          <w:numId w:val="1006"/>
        </w:numPr>
      </w:pPr>
      <w:r>
        <w:t xml:space="preserve">Third-quarter fuel guidance and the sensitivity of EPS to fuel prices.</w:t>
      </w:r>
    </w:p>
    <w:p>
      <w:pPr>
        <w:pStyle w:val="Compact"/>
        <w:numPr>
          <w:ilvl w:val="0"/>
          <w:numId w:val="1006"/>
        </w:numPr>
      </w:pPr>
      <w:r>
        <w:t xml:space="preserve">Any capacity reductions designed to eliminate marginal, fuel-inefficient flying.</w:t>
      </w:r>
    </w:p>
    <w:p>
      <w:pPr>
        <w:pStyle w:val="FirstParagraph"/>
      </w:pPr>
      <w:r>
        <w:t xml:space="preserve">The encouraging part of the setup is that fuel prices moderated late in the quarter. Delta expects approximately $3.15 per gallon in Q3, although its refinery and hedge economics make that number imperfectly comparable. The key for LUV is whether falling fuel combines with still-elevated yields to produce a much better second-half margin spread. (</w:t>
      </w:r>
      <w:hyperlink r:id="rId19">
        <w:r>
          <w:rPr>
            <w:rStyle w:val="Hyperlink"/>
          </w:rPr>
          <w:t xml:space="preserve">ir.delta.com</w:t>
        </w:r>
      </w:hyperlink>
      <w:r>
        <w:t xml:space="preserve">)</w:t>
      </w:r>
    </w:p>
    <w:p>
      <w:r>
        <w:pict>
          <v:rect style="width:0;height:1.5pt" o:hralign="center" o:hrstd="t" o:hr="t"/>
        </w:pict>
      </w:r>
    </w:p>
    <w:bookmarkEnd w:id="20"/>
    <w:bookmarkEnd w:id="21"/>
    <w:bookmarkStart w:id="23" w:name="X468b82ffce1d392bd9feef9805dec87c427e421"/>
    <w:p>
      <w:pPr>
        <w:pStyle w:val="Heading2"/>
      </w:pPr>
      <w:r>
        <w:t xml:space="preserve">3. Cost control needs to remain credible</w:t>
      </w:r>
    </w:p>
    <w:p>
      <w:pPr>
        <w:pStyle w:val="FirstParagraph"/>
      </w:pPr>
      <w:r>
        <w:t xml:space="preserve">Southwest guided CASM-X growth of 3.5%–4.0%. That includes roughly</w:t>
      </w:r>
      <w:r>
        <w:t xml:space="preserve"> </w:t>
      </w:r>
      <w:r>
        <w:rPr>
          <w:b/>
          <w:bCs/>
        </w:rPr>
        <w:t xml:space="preserve">1.2 percentage points</w:t>
      </w:r>
      <w:r>
        <w:t xml:space="preserve"> </w:t>
      </w:r>
      <w:r>
        <w:t xml:space="preserve">of pressure from removing six seats from its 737-700 aircraft to create extra-legroom seating.</w:t>
      </w:r>
    </w:p>
    <w:p>
      <w:pPr>
        <w:pStyle w:val="BodyText"/>
      </w:pPr>
      <w:r>
        <w:t xml:space="preserve">On the Q2 2025 CASM-X base of 12.04 cents, the guidance midpoint implies approximately</w:t>
      </w:r>
      <w:r>
        <w:t xml:space="preserve"> </w:t>
      </w:r>
      <w:r>
        <w:rPr>
          <w:b/>
          <w:bCs/>
        </w:rPr>
        <w:t xml:space="preserve">12.49 cents</w:t>
      </w:r>
      <w:r>
        <w:t xml:space="preserve"> </w:t>
      </w:r>
      <w:r>
        <w:t xml:space="preserve">in Q2 2026. (</w:t>
      </w:r>
      <w:hyperlink r:id="rId12">
        <w:r>
          <w:rPr>
            <w:rStyle w:val="Hyperlink"/>
          </w:rPr>
          <w:t xml:space="preserve">southwestairlinesinvestorrelations.com</w:t>
        </w:r>
      </w:hyperlink>
      <w:r>
        <w:t xml:space="preserve">)</w:t>
      </w:r>
    </w:p>
    <w:p>
      <w:pPr>
        <w:pStyle w:val="BodyText"/>
      </w:pPr>
      <w:r>
        <w:t xml:space="preserve">First-quarter CASM-X increased only 2.3%, below management’s prior forecast, with the company attributing the performance to:</w:t>
      </w:r>
    </w:p>
    <w:p>
      <w:pPr>
        <w:pStyle w:val="Compact"/>
        <w:numPr>
          <w:ilvl w:val="0"/>
          <w:numId w:val="1007"/>
        </w:numPr>
      </w:pPr>
      <w:r>
        <w:t xml:space="preserve">Corporate workforce reductions.</w:t>
      </w:r>
    </w:p>
    <w:p>
      <w:pPr>
        <w:pStyle w:val="Compact"/>
        <w:numPr>
          <w:ilvl w:val="0"/>
          <w:numId w:val="1007"/>
        </w:numPr>
      </w:pPr>
      <w:r>
        <w:t xml:space="preserve">Better operational reliability.</w:t>
      </w:r>
    </w:p>
    <w:p>
      <w:pPr>
        <w:pStyle w:val="Compact"/>
        <w:numPr>
          <w:ilvl w:val="0"/>
          <w:numId w:val="1007"/>
        </w:numPr>
      </w:pPr>
      <w:r>
        <w:t xml:space="preserve">Lower technology spending after a period of catch-up investment.</w:t>
      </w:r>
    </w:p>
    <w:p>
      <w:pPr>
        <w:pStyle w:val="Compact"/>
        <w:numPr>
          <w:ilvl w:val="0"/>
          <w:numId w:val="1007"/>
        </w:numPr>
      </w:pPr>
      <w:r>
        <w:t xml:space="preserve">Maintenance savings as older 737-700s are replaced by MAX 8 aircraft.</w:t>
      </w:r>
    </w:p>
    <w:p>
      <w:pPr>
        <w:pStyle w:val="Compact"/>
        <w:numPr>
          <w:ilvl w:val="0"/>
          <w:numId w:val="1007"/>
        </w:numPr>
      </w:pPr>
      <w:r>
        <w:t xml:space="preserve">More disciplined staffing and premium-pay management.</w:t>
      </w:r>
    </w:p>
    <w:bookmarkStart w:id="22" w:name="key-issue-for-the-call"/>
    <w:p>
      <w:pPr>
        <w:pStyle w:val="Heading3"/>
      </w:pPr>
      <w:r>
        <w:t xml:space="preserve">Key issue for the call</w:t>
      </w:r>
    </w:p>
    <w:p>
      <w:pPr>
        <w:pStyle w:val="FirstParagraph"/>
      </w:pPr>
      <w:r>
        <w:t xml:space="preserve">Management has described these savings as</w:t>
      </w:r>
      <w:r>
        <w:t xml:space="preserve"> </w:t>
      </w:r>
      <w:r>
        <w:rPr>
          <w:b/>
          <w:bCs/>
        </w:rPr>
        <w:t xml:space="preserve">structural rather than timing-related</w:t>
      </w:r>
      <w:r>
        <w:t xml:space="preserve">. Investors should listen for whether Q2 confirms that assertion and whether second-half CASM-X can improve as capacity growth rises modestly and transformation-related costs recede.</w:t>
      </w:r>
    </w:p>
    <w:p>
      <w:pPr>
        <w:pStyle w:val="BodyText"/>
      </w:pPr>
      <w:r>
        <w:t xml:space="preserve">A result above 4% would raise questions about how much revenue improvement is being absorbed by labor, maintenance, distribution and product-upgrade expenses.</w:t>
      </w:r>
    </w:p>
    <w:p>
      <w:r>
        <w:pict>
          <v:rect style="width:0;height:1.5pt" o:hralign="center" o:hrstd="t" o:hr="t"/>
        </w:pict>
      </w:r>
    </w:p>
    <w:bookmarkEnd w:id="22"/>
    <w:bookmarkEnd w:id="23"/>
    <w:bookmarkStart w:id="26" w:name="X3eb85d56ca23b67402454b42a424dbddbdc9df0"/>
    <w:p>
      <w:pPr>
        <w:pStyle w:val="Heading2"/>
      </w:pPr>
      <w:r>
        <w:t xml:space="preserve">4. Full-year guidance is probably more important than Q2 EPS</w:t>
      </w:r>
    </w:p>
    <w:p>
      <w:pPr>
        <w:pStyle w:val="FirstParagraph"/>
      </w:pPr>
      <w:r>
        <w:t xml:space="preserve">At the beginning of 2026, Southwest guided to at least $4.00 of adjusted EPS. In April, management declined to update the target but emphasized that it had not withdrawn it; reaching $4 would require lower fuel prices, stronger revenue, or both.</w:t>
      </w:r>
    </w:p>
    <w:p>
      <w:pPr>
        <w:pStyle w:val="BodyText"/>
      </w:pPr>
      <w:r>
        <w:t xml:space="preserve">Current outside estimates are lower. Barchart shows approximately:</w:t>
      </w:r>
    </w:p>
    <w:p>
      <w:pPr>
        <w:pStyle w:val="Compact"/>
        <w:numPr>
          <w:ilvl w:val="0"/>
          <w:numId w:val="1008"/>
        </w:numPr>
      </w:pPr>
      <w:r>
        <w:rPr>
          <w:b/>
          <w:bCs/>
        </w:rPr>
        <w:t xml:space="preserve">$3.23</w:t>
      </w:r>
      <w:r>
        <w:t xml:space="preserve"> </w:t>
      </w:r>
      <w:r>
        <w:t xml:space="preserve">for full-year 2026.</w:t>
      </w:r>
    </w:p>
    <w:p>
      <w:pPr>
        <w:pStyle w:val="Compact"/>
        <w:numPr>
          <w:ilvl w:val="0"/>
          <w:numId w:val="1008"/>
        </w:numPr>
      </w:pPr>
      <w:r>
        <w:rPr>
          <w:b/>
          <w:bCs/>
        </w:rPr>
        <w:t xml:space="preserve">$0.77</w:t>
      </w:r>
      <w:r>
        <w:t xml:space="preserve"> </w:t>
      </w:r>
      <w:r>
        <w:t xml:space="preserve">for Q3.</w:t>
      </w:r>
    </w:p>
    <w:p>
      <w:pPr>
        <w:pStyle w:val="Compact"/>
        <w:numPr>
          <w:ilvl w:val="0"/>
          <w:numId w:val="1008"/>
        </w:numPr>
      </w:pPr>
      <w:r>
        <w:rPr>
          <w:b/>
          <w:bCs/>
        </w:rPr>
        <w:t xml:space="preserve">$5.19</w:t>
      </w:r>
      <w:r>
        <w:t xml:space="preserve"> </w:t>
      </w:r>
      <w:r>
        <w:t xml:space="preserve">for 2027. (</w:t>
      </w:r>
      <w:hyperlink r:id="rId24">
        <w:r>
          <w:rPr>
            <w:rStyle w:val="Hyperlink"/>
          </w:rPr>
          <w:t xml:space="preserve">barchart.com</w:t>
        </w:r>
      </w:hyperlink>
      <w:r>
        <w:t xml:space="preserve">)</w:t>
      </w:r>
    </w:p>
    <w:p>
      <w:pPr>
        <w:pStyle w:val="FirstParagraph"/>
      </w:pPr>
      <w:r>
        <w:t xml:space="preserve">The wide gap between the $4 company objective and the roughly $3.23 consensus is likely to dominate the report.</w:t>
      </w:r>
    </w:p>
    <w:bookmarkStart w:id="25" w:name="possible-guidance-outcomes"/>
    <w:p>
      <w:pPr>
        <w:pStyle w:val="Heading3"/>
      </w:pPr>
      <w:r>
        <w:t xml:space="preserve">Possible guidance outcomes</w:t>
      </w:r>
    </w:p>
    <w:p>
      <w:pPr>
        <w:pStyle w:val="FirstParagraph"/>
      </w:pPr>
      <w:r>
        <w:rPr>
          <w:b/>
          <w:bCs/>
        </w:rPr>
        <w:t xml:space="preserve">Most constructive:</w:t>
      </w:r>
      <w:r>
        <w:t xml:space="preserve"> </w:t>
      </w:r>
      <w:r>
        <w:t xml:space="preserve">Management formally reaffirms $4, supported by strong Q2 revenue, declining Q3 fuel and continued initiative upside.</w:t>
      </w:r>
    </w:p>
    <w:p>
      <w:pPr>
        <w:pStyle w:val="BodyText"/>
      </w:pPr>
      <w:r>
        <w:rPr>
          <w:b/>
          <w:bCs/>
        </w:rPr>
        <w:t xml:space="preserve">Neutral:</w:t>
      </w:r>
      <w:r>
        <w:t xml:space="preserve"> </w:t>
      </w:r>
      <w:r>
        <w:t xml:space="preserve">Management again says $4 remains possible but declines to provide a firm range. The stock response would then depend heavily on Q3 guidance.</w:t>
      </w:r>
    </w:p>
    <w:p>
      <w:pPr>
        <w:pStyle w:val="BodyText"/>
      </w:pPr>
      <w:r>
        <w:rPr>
          <w:b/>
          <w:bCs/>
        </w:rPr>
        <w:t xml:space="preserve">Negative:</w:t>
      </w:r>
      <w:r>
        <w:t xml:space="preserve"> </w:t>
      </w:r>
      <w:r>
        <w:t xml:space="preserve">The company resets full-year expectations closer to consensus, signaling that fuel recovery or initiative monetization is taking longer than expected.</w:t>
      </w:r>
    </w:p>
    <w:p>
      <w:pPr>
        <w:pStyle w:val="BodyText"/>
      </w:pPr>
      <w:r>
        <w:t xml:space="preserve">A credible Q3 outlook probably needs to show a meaningfully wider RASM-versus-CASM-X spread, lower fuel costs and continued margin expansion.</w:t>
      </w:r>
    </w:p>
    <w:p>
      <w:r>
        <w:pict>
          <v:rect style="width:0;height:1.5pt" o:hralign="center" o:hrstd="t" o:hr="t"/>
        </w:pict>
      </w:r>
    </w:p>
    <w:bookmarkEnd w:id="25"/>
    <w:bookmarkEnd w:id="26"/>
    <w:bookmarkStart w:id="27" w:name="X2cdd5a840ab741ce5cef08736b837fd18bcf9bf"/>
    <w:p>
      <w:pPr>
        <w:pStyle w:val="Heading2"/>
      </w:pPr>
      <w:r>
        <w:t xml:space="preserve">5. Balance sheet and capital returns</w:t>
      </w:r>
    </w:p>
    <w:p>
      <w:pPr>
        <w:pStyle w:val="FirstParagraph"/>
      </w:pPr>
      <w:r>
        <w:t xml:space="preserve">Southwest entered Q2 with:</w:t>
      </w:r>
    </w:p>
    <w:p>
      <w:pPr>
        <w:pStyle w:val="Compact"/>
        <w:numPr>
          <w:ilvl w:val="0"/>
          <w:numId w:val="1009"/>
        </w:numPr>
      </w:pPr>
      <w:r>
        <w:t xml:space="preserve">$3.3 billion of cash.</w:t>
      </w:r>
    </w:p>
    <w:p>
      <w:pPr>
        <w:pStyle w:val="Compact"/>
        <w:numPr>
          <w:ilvl w:val="0"/>
          <w:numId w:val="1009"/>
        </w:numPr>
      </w:pPr>
      <w:r>
        <w:t xml:space="preserve">A $1.5 billion revolving credit facility.</w:t>
      </w:r>
    </w:p>
    <w:p>
      <w:pPr>
        <w:pStyle w:val="Compact"/>
        <w:numPr>
          <w:ilvl w:val="0"/>
          <w:numId w:val="1009"/>
        </w:numPr>
      </w:pPr>
      <w:r>
        <w:t xml:space="preserve">2.2 times adjusted leverage.</w:t>
      </w:r>
    </w:p>
    <w:p>
      <w:pPr>
        <w:pStyle w:val="Compact"/>
        <w:numPr>
          <w:ilvl w:val="0"/>
          <w:numId w:val="1009"/>
        </w:numPr>
      </w:pPr>
      <w:r>
        <w:t xml:space="preserve">Approximately $16.5 billion of unencumbered aircraft and related assets.</w:t>
      </w:r>
    </w:p>
    <w:p>
      <w:pPr>
        <w:pStyle w:val="Compact"/>
        <w:numPr>
          <w:ilvl w:val="0"/>
          <w:numId w:val="1009"/>
        </w:numPr>
      </w:pPr>
      <w:r>
        <w:t xml:space="preserve">$450 million remaining under its current repurchase authorization.</w:t>
      </w:r>
    </w:p>
    <w:p>
      <w:pPr>
        <w:pStyle w:val="FirstParagraph"/>
      </w:pPr>
      <w:r>
        <w:t xml:space="preserve">The company repurchased</w:t>
      </w:r>
      <w:r>
        <w:t xml:space="preserve"> </w:t>
      </w:r>
      <w:r>
        <w:rPr>
          <w:b/>
          <w:bCs/>
        </w:rPr>
        <w:t xml:space="preserve">$1.25 billion of stock in Q1</w:t>
      </w:r>
      <w:r>
        <w:t xml:space="preserve">, in addition to paying dividends. That was a substantial return of capital during a volatile fuel environment.</w:t>
      </w:r>
    </w:p>
    <w:p>
      <w:pPr>
        <w:pStyle w:val="BodyText"/>
      </w:pPr>
      <w:r>
        <w:t xml:space="preserve">Investors should watch whether buybacks continued in Q2 or whether management preserved liquidity. A pause would be financially understandable, but could disappoint shareholders accustomed to aggressive repurchases. Continued buying would signal confidence, although investors may question the trade-off given approximately</w:t>
      </w:r>
      <w:r>
        <w:t xml:space="preserve"> </w:t>
      </w:r>
      <m:oMath>
        <m:r>
          <m:t>3.0</m:t>
        </m:r>
        <m:r>
          <m:rPr>
            <m:sty m:val="p"/>
          </m:rPr>
          <m:t>–</m:t>
        </m:r>
      </m:oMath>
      <w:r>
        <w:t xml:space="preserve">3.5 billion of planned 2026 net capital spending. (</w:t>
      </w:r>
      <w:hyperlink r:id="rId12">
        <w:r>
          <w:rPr>
            <w:rStyle w:val="Hyperlink"/>
          </w:rPr>
          <w:t xml:space="preserve">southwestairlinesinvestorrelations.com</w:t>
        </w:r>
      </w:hyperlink>
      <w:r>
        <w:t xml:space="preserve">)</w:t>
      </w:r>
    </w:p>
    <w:p>
      <w:r>
        <w:pict>
          <v:rect style="width:0;height:1.5pt" o:hralign="center" o:hrstd="t" o:hr="t"/>
        </w:pict>
      </w:r>
    </w:p>
    <w:bookmarkEnd w:id="27"/>
    <w:bookmarkStart w:id="31" w:name="X54ca1e1854f613dd05b07eb19a093e99395b075"/>
    <w:p>
      <w:pPr>
        <w:pStyle w:val="Heading2"/>
      </w:pPr>
      <w:r>
        <w:t xml:space="preserve">6. Other call topics worth monitoring</w:t>
      </w:r>
    </w:p>
    <w:bookmarkStart w:id="28" w:name="fleet-and-boeing-deliveries"/>
    <w:p>
      <w:pPr>
        <w:pStyle w:val="Heading3"/>
      </w:pPr>
      <w:r>
        <w:t xml:space="preserve">Fleet and Boeing deliveries</w:t>
      </w:r>
    </w:p>
    <w:p>
      <w:pPr>
        <w:pStyle w:val="FirstParagraph"/>
      </w:pPr>
      <w:r>
        <w:t xml:space="preserve">Southwest planned to receive 66 Boeing 737-8 aircraft and retire approximately 60 aircraft during 2026. New deliveries support fuel efficiency and maintenance savings, but excess deliveries could also create pressure to add capacity if retirements do not keep pace.</w:t>
      </w:r>
    </w:p>
    <w:bookmarkEnd w:id="28"/>
    <w:bookmarkStart w:id="29" w:name="network-optimization"/>
    <w:p>
      <w:pPr>
        <w:pStyle w:val="Heading3"/>
      </w:pPr>
      <w:r>
        <w:t xml:space="preserve">Network optimization</w:t>
      </w:r>
    </w:p>
    <w:p>
      <w:pPr>
        <w:pStyle w:val="FirstParagraph"/>
      </w:pPr>
      <w:r>
        <w:t xml:space="preserve">Management has been eliminating lower-return flying, including suspending service at Chicago O’Hare and Washington Dulles, while redirecting capacity toward stronger markets such as Nashville, Orlando and San Diego.</w:t>
      </w:r>
    </w:p>
    <w:p>
      <w:pPr>
        <w:pStyle w:val="BodyText"/>
      </w:pPr>
      <w:r>
        <w:t xml:space="preserve">Investors should favor profitability and RASM over market share. The potential concern would be evidence that Southwest is cutting routes because the transformed product is not competitive rather than because management is exercising financial discipline.</w:t>
      </w:r>
    </w:p>
    <w:bookmarkEnd w:id="29"/>
    <w:bookmarkStart w:id="30" w:name="product-execution"/>
    <w:p>
      <w:pPr>
        <w:pStyle w:val="Heading3"/>
      </w:pPr>
      <w:r>
        <w:t xml:space="preserve">Product execution</w:t>
      </w:r>
    </w:p>
    <w:p>
      <w:pPr>
        <w:pStyle w:val="FirstParagraph"/>
      </w:pPr>
      <w:r>
        <w:t xml:space="preserve">Updates on Starlink installation, larger overhead bins and in-seat power matter less to Q2 EPS but are important to the corporate-travel thesis. Southwest previously targeted at least 300 Starlink-equipped aircraft and roughly two-thirds of the fleet with power and larger bins by year-end. (</w:t>
      </w:r>
      <w:hyperlink r:id="rId12">
        <w:r>
          <w:rPr>
            <w:rStyle w:val="Hyperlink"/>
          </w:rPr>
          <w:t xml:space="preserve">southwestairlinesinvestorrelations.com</w:t>
        </w:r>
      </w:hyperlink>
      <w:r>
        <w:t xml:space="preserve">)</w:t>
      </w:r>
    </w:p>
    <w:p>
      <w:r>
        <w:pict>
          <v:rect style="width:0;height:1.5pt" o:hralign="center" o:hrstd="t" o:hr="t"/>
        </w:pict>
      </w:r>
    </w:p>
    <w:bookmarkEnd w:id="30"/>
    <w:bookmarkEnd w:id="31"/>
    <w:bookmarkStart w:id="35" w:name="scenario-framework"/>
    <w:p>
      <w:pPr>
        <w:pStyle w:val="Heading2"/>
      </w:pPr>
      <w:r>
        <w:t xml:space="preserve">Scenario framework</w:t>
      </w:r>
    </w:p>
    <w:bookmarkStart w:id="32" w:name="bull-case"/>
    <w:p>
      <w:pPr>
        <w:pStyle w:val="Heading3"/>
      </w:pPr>
      <w:r>
        <w:t xml:space="preserve">Bull case</w:t>
      </w:r>
    </w:p>
    <w:p>
      <w:pPr>
        <w:pStyle w:val="Compact"/>
        <w:numPr>
          <w:ilvl w:val="0"/>
          <w:numId w:val="1010"/>
        </w:numPr>
      </w:pPr>
      <w:r>
        <w:t xml:space="preserve">EPS of</w:t>
      </w:r>
      <w:r>
        <w:t xml:space="preserve"> </w:t>
      </w:r>
      <w:r>
        <w:rPr>
          <w:b/>
          <w:bCs/>
        </w:rPr>
        <w:t xml:space="preserve">$0.60 or better</w:t>
      </w:r>
      <w:r>
        <w:t xml:space="preserve">.</w:t>
      </w:r>
    </w:p>
    <w:p>
      <w:pPr>
        <w:pStyle w:val="Compact"/>
        <w:numPr>
          <w:ilvl w:val="0"/>
          <w:numId w:val="1010"/>
        </w:numPr>
      </w:pPr>
      <w:r>
        <w:t xml:space="preserve">RASM exceeds 18.5%.</w:t>
      </w:r>
    </w:p>
    <w:p>
      <w:pPr>
        <w:pStyle w:val="Compact"/>
        <w:numPr>
          <w:ilvl w:val="0"/>
          <w:numId w:val="1010"/>
        </w:numPr>
      </w:pPr>
      <w:r>
        <w:t xml:space="preserve">CASM-X near or below 3.5%.</w:t>
      </w:r>
    </w:p>
    <w:p>
      <w:pPr>
        <w:pStyle w:val="Compact"/>
        <w:numPr>
          <w:ilvl w:val="0"/>
          <w:numId w:val="1010"/>
        </w:numPr>
      </w:pPr>
      <w:r>
        <w:t xml:space="preserve">Buy-up and corporate trends accelerate.</w:t>
      </w:r>
    </w:p>
    <w:p>
      <w:pPr>
        <w:pStyle w:val="Compact"/>
        <w:numPr>
          <w:ilvl w:val="0"/>
          <w:numId w:val="1010"/>
        </w:numPr>
      </w:pPr>
      <w:r>
        <w:t xml:space="preserve">Q3 shows another double-digit RASM increase and substantially lower fuel.</w:t>
      </w:r>
    </w:p>
    <w:p>
      <w:pPr>
        <w:pStyle w:val="Compact"/>
        <w:numPr>
          <w:ilvl w:val="0"/>
          <w:numId w:val="1010"/>
        </w:numPr>
      </w:pPr>
      <w:r>
        <w:t xml:space="preserve">Management convincingly reaffirms the $4 full-year objective.</w:t>
      </w:r>
    </w:p>
    <w:p>
      <w:pPr>
        <w:pStyle w:val="FirstParagraph"/>
      </w:pPr>
      <w:r>
        <w:t xml:space="preserve">This would validate the transformation and suggest that lower second-half fuel could unlock rapid margin expansion.</w:t>
      </w:r>
    </w:p>
    <w:bookmarkEnd w:id="32"/>
    <w:bookmarkStart w:id="33" w:name="base-case"/>
    <w:p>
      <w:pPr>
        <w:pStyle w:val="Heading3"/>
      </w:pPr>
      <w:r>
        <w:t xml:space="preserve">Base case</w:t>
      </w:r>
    </w:p>
    <w:p>
      <w:pPr>
        <w:pStyle w:val="Compact"/>
        <w:numPr>
          <w:ilvl w:val="0"/>
          <w:numId w:val="1011"/>
        </w:numPr>
      </w:pPr>
      <w:r>
        <w:t xml:space="preserve">EPS around</w:t>
      </w:r>
      <w:r>
        <w:t xml:space="preserve"> </w:t>
      </w:r>
      <m:oMath>
        <m:r>
          <m:t>0.50</m:t>
        </m:r>
        <m:r>
          <m:rPr>
            <m:sty m:val="p"/>
          </m:rPr>
          <m:t>–</m:t>
        </m:r>
      </m:oMath>
      <w:r>
        <w:rPr>
          <w:b/>
          <w:bCs/>
        </w:rPr>
        <w:t xml:space="preserve">0.55</w:t>
      </w:r>
      <w:r>
        <w:t xml:space="preserve">.</w:t>
      </w:r>
    </w:p>
    <w:p>
      <w:pPr>
        <w:pStyle w:val="Compact"/>
        <w:numPr>
          <w:ilvl w:val="0"/>
          <w:numId w:val="1011"/>
        </w:numPr>
      </w:pPr>
      <w:r>
        <w:t xml:space="preserve">RASM near the high end of guidance.</w:t>
      </w:r>
    </w:p>
    <w:p>
      <w:pPr>
        <w:pStyle w:val="Compact"/>
        <w:numPr>
          <w:ilvl w:val="0"/>
          <w:numId w:val="1011"/>
        </w:numPr>
      </w:pPr>
      <w:r>
        <w:t xml:space="preserve">Fuel slightly above plan offsets revenue strength.</w:t>
      </w:r>
    </w:p>
    <w:p>
      <w:pPr>
        <w:pStyle w:val="Compact"/>
        <w:numPr>
          <w:ilvl w:val="0"/>
          <w:numId w:val="1011"/>
        </w:numPr>
      </w:pPr>
      <w:r>
        <w:t xml:space="preserve">CASM-X remains within guidance.</w:t>
      </w:r>
    </w:p>
    <w:p>
      <w:pPr>
        <w:pStyle w:val="Compact"/>
        <w:numPr>
          <w:ilvl w:val="0"/>
          <w:numId w:val="1011"/>
        </w:numPr>
      </w:pPr>
      <w:r>
        <w:t xml:space="preserve">Q3 is constructive, but management keeps $4 as a scenario rather than firm guidance.</w:t>
      </w:r>
    </w:p>
    <w:p>
      <w:pPr>
        <w:pStyle w:val="FirstParagraph"/>
      </w:pPr>
      <w:r>
        <w:t xml:space="preserve">This would represent sound execution, although much may already be priced into the shares.</w:t>
      </w:r>
    </w:p>
    <w:bookmarkEnd w:id="33"/>
    <w:bookmarkStart w:id="34" w:name="bear-case"/>
    <w:p>
      <w:pPr>
        <w:pStyle w:val="Heading3"/>
      </w:pPr>
      <w:r>
        <w:t xml:space="preserve">Bear case</w:t>
      </w:r>
    </w:p>
    <w:p>
      <w:pPr>
        <w:pStyle w:val="Compact"/>
        <w:numPr>
          <w:ilvl w:val="0"/>
          <w:numId w:val="1012"/>
        </w:numPr>
      </w:pPr>
      <w:r>
        <w:t xml:space="preserve">EPS below</w:t>
      </w:r>
      <w:r>
        <w:t xml:space="preserve"> </w:t>
      </w:r>
      <w:r>
        <w:rPr>
          <w:b/>
          <w:bCs/>
        </w:rPr>
        <w:t xml:space="preserve">$0.45</w:t>
      </w:r>
      <w:r>
        <w:t xml:space="preserve">.</w:t>
      </w:r>
    </w:p>
    <w:p>
      <w:pPr>
        <w:pStyle w:val="Compact"/>
        <w:numPr>
          <w:ilvl w:val="0"/>
          <w:numId w:val="1012"/>
        </w:numPr>
      </w:pPr>
      <w:r>
        <w:t xml:space="preserve">RASM misses the 16.5% lower end or relies on materially weaker passenger volumes.</w:t>
      </w:r>
    </w:p>
    <w:p>
      <w:pPr>
        <w:pStyle w:val="Compact"/>
        <w:numPr>
          <w:ilvl w:val="0"/>
          <w:numId w:val="1012"/>
        </w:numPr>
      </w:pPr>
      <w:r>
        <w:t xml:space="preserve">CASM-X exceeds 4%.</w:t>
      </w:r>
    </w:p>
    <w:p>
      <w:pPr>
        <w:pStyle w:val="Compact"/>
        <w:numPr>
          <w:ilvl w:val="0"/>
          <w:numId w:val="1012"/>
        </w:numPr>
      </w:pPr>
      <w:r>
        <w:t xml:space="preserve">Buy-up rates or corporate growth decelerate.</w:t>
      </w:r>
    </w:p>
    <w:p>
      <w:pPr>
        <w:pStyle w:val="Compact"/>
        <w:numPr>
          <w:ilvl w:val="0"/>
          <w:numId w:val="1012"/>
        </w:numPr>
      </w:pPr>
      <w:r>
        <w:t xml:space="preserve">Full-year expectations are reset toward or below the roughly $3.23 consensus.</w:t>
      </w:r>
    </w:p>
    <w:p>
      <w:pPr>
        <w:pStyle w:val="Compact"/>
        <w:numPr>
          <w:ilvl w:val="0"/>
          <w:numId w:val="1012"/>
        </w:numPr>
      </w:pPr>
      <w:r>
        <w:t xml:space="preserve">Management signals weaker Q3 pricing or delays in reaching full initiative run-rate.</w:t>
      </w:r>
    </w:p>
    <w:p>
      <w:pPr>
        <w:pStyle w:val="FirstParagraph"/>
      </w:pPr>
      <w:r>
        <w:t xml:space="preserve">That combination would revive concerns that the transformation is improving revenue but not producing enough incremental profit after fuel and operating costs.</w:t>
      </w:r>
    </w:p>
    <w:p>
      <w:r>
        <w:pict>
          <v:rect style="width:0;height:1.5pt" o:hralign="center" o:hrstd="t" o:hr="t"/>
        </w:pict>
      </w:r>
    </w:p>
    <w:bookmarkEnd w:id="34"/>
    <w:bookmarkEnd w:id="35"/>
    <w:bookmarkStart w:id="36" w:name="bottom-line"/>
    <w:p>
      <w:pPr>
        <w:pStyle w:val="Heading2"/>
      </w:pPr>
      <w:r>
        <w:t xml:space="preserve">Bottom line</w:t>
      </w:r>
    </w:p>
    <w:p>
      <w:pPr>
        <w:pStyle w:val="FirstParagraph"/>
      </w:pPr>
      <w:r>
        <w:t xml:space="preserve">The cleanest way to judge the report is to separate</w:t>
      </w:r>
      <w:r>
        <w:t xml:space="preserve"> </w:t>
      </w:r>
      <w:r>
        <w:rPr>
          <w:b/>
          <w:bCs/>
        </w:rPr>
        <w:t xml:space="preserve">what Southwest controls</w:t>
      </w:r>
      <w:r>
        <w:t xml:space="preserve"> </w:t>
      </w:r>
      <w:r>
        <w:t xml:space="preserve">from what it does not:</w:t>
      </w:r>
    </w:p>
    <w:p>
      <w:pPr>
        <w:pStyle w:val="Compact"/>
        <w:numPr>
          <w:ilvl w:val="0"/>
          <w:numId w:val="1013"/>
        </w:numPr>
      </w:pPr>
      <w:r>
        <w:rPr>
          <w:b/>
          <w:bCs/>
        </w:rPr>
        <w:t xml:space="preserve">Controlled:</w:t>
      </w:r>
      <w:r>
        <w:t xml:space="preserve"> </w:t>
      </w:r>
      <w:r>
        <w:t xml:space="preserve">product monetization, RASM, CASM-X, network allocation, operational reliability and capital deployment.</w:t>
      </w:r>
    </w:p>
    <w:p>
      <w:pPr>
        <w:pStyle w:val="Compact"/>
        <w:numPr>
          <w:ilvl w:val="0"/>
          <w:numId w:val="1013"/>
        </w:numPr>
      </w:pPr>
      <w:r>
        <w:rPr>
          <w:b/>
          <w:bCs/>
        </w:rPr>
        <w:t xml:space="preserve">Less controlled:</w:t>
      </w:r>
      <w:r>
        <w:t xml:space="preserve"> </w:t>
      </w:r>
      <w:r>
        <w:t xml:space="preserve">fuel prices and the broader industry pricing environment.</w:t>
      </w:r>
    </w:p>
    <w:p>
      <w:pPr>
        <w:pStyle w:val="FirstParagraph"/>
      </w:pPr>
      <w:r>
        <w:t xml:space="preserve">The best outcome is not simply an EPS beat. It is evidence that Southwest’s transformed product is producing</w:t>
      </w:r>
      <w:r>
        <w:t xml:space="preserve"> </w:t>
      </w:r>
      <w:r>
        <w:rPr>
          <w:b/>
          <w:bCs/>
        </w:rPr>
        <w:t xml:space="preserve">sustainable, volume-supported yield growth</w:t>
      </w:r>
      <w:r>
        <w:t xml:space="preserve">, that nonfuel costs remain disciplined, and that falling Q3 fuel prices can convert those gains into materially higher margins.</w:t>
      </w:r>
    </w:p>
    <w:p>
      <w:pPr>
        <w:pStyle w:val="BodyText"/>
      </w:pPr>
      <w:r>
        <w:t xml:space="preserve">Going into the release, the bar appears to be</w:t>
      </w:r>
      <w:r>
        <w:t xml:space="preserve"> </w:t>
      </w:r>
      <w:r>
        <w:rPr>
          <w:b/>
          <w:bCs/>
        </w:rPr>
        <w:t xml:space="preserve">high-end revenue performance plus constructive second-half guidance</w:t>
      </w:r>
      <w:r>
        <w:t xml:space="preserve">. A midpoint EPS result without a clearer path toward the $4 full-year objective could be insufficient after the stock’s recent rally.</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r.delta.com/news/news-details/2026/Delta-Air-Lines-Announces-June-Quarter-2026-Financial-Results/default.aspx?utm_source=openai" TargetMode="External" /><Relationship Type="http://schemas.openxmlformats.org/officeDocument/2006/relationships/hyperlink" Id="rId24" Target="https://www.barchart.com/stocks/quotes/LUV/earnings-estimates?utm_source=openai" TargetMode="External" /><Relationship Type="http://schemas.openxmlformats.org/officeDocument/2006/relationships/hyperlink" Id="rId9" Target="https://www.southwestairlinesinvestorrelations.com/?channel=mweb" TargetMode="External" /><Relationship Type="http://schemas.openxmlformats.org/officeDocument/2006/relationships/hyperlink" Id="rId12" Target="https://www.southwestairlinesinvestorrelations.com/news-events/press-releases/detail/1923/southwest-airlines-reports-first-quarter-results-business-transformation-initiatives-deliver-meaningful-margin-expansion?utm_source=openai" TargetMode="External" /><Relationship Type="http://schemas.openxmlformats.org/officeDocument/2006/relationships/hyperlink" Id="rId15" Target="https://www.southwestairlinesinvestorrelations.com/sec-filings/all-sec-filings/content/0000092380-25-000131/0000092380-25-000131.pdf?utm_source=openai" TargetMode="External" /><Relationship Type="http://schemas.openxmlformats.org/officeDocument/2006/relationships/hyperlink" Id="rId11" Target="https://www.zacks.com/stock/news/2956208/stay-ahead-of-the-game-with-southwest-luv-q2-earnings-wall-streets-insights-on-key-metrics?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ir.delta.com/news/news-details/2026/Delta-Air-Lines-Announces-June-Quarter-2026-Financial-Results/default.aspx?utm_source=openai" TargetMode="External" /><Relationship Type="http://schemas.openxmlformats.org/officeDocument/2006/relationships/hyperlink" Id="rId24" Target="https://www.barchart.com/stocks/quotes/LUV/earnings-estimates?utm_source=openai" TargetMode="External" /><Relationship Type="http://schemas.openxmlformats.org/officeDocument/2006/relationships/hyperlink" Id="rId9" Target="https://www.southwestairlinesinvestorrelations.com/?channel=mweb" TargetMode="External" /><Relationship Type="http://schemas.openxmlformats.org/officeDocument/2006/relationships/hyperlink" Id="rId12" Target="https://www.southwestairlinesinvestorrelations.com/news-events/press-releases/detail/1923/southwest-airlines-reports-first-quarter-results-business-transformation-initiatives-deliver-meaningful-margin-expansion?utm_source=openai" TargetMode="External" /><Relationship Type="http://schemas.openxmlformats.org/officeDocument/2006/relationships/hyperlink" Id="rId15" Target="https://www.southwestairlinesinvestorrelations.com/sec-filings/all-sec-filings/content/0000092380-25-000131/0000092380-25-000131.pdf?utm_source=openai" TargetMode="External" /><Relationship Type="http://schemas.openxmlformats.org/officeDocument/2006/relationships/hyperlink" Id="rId11" Target="https://www.zacks.com/stock/news/2956208/stay-ahead-of-the-game-with-southwest-luv-q2-earnings-wall-streets-insights-on-key-metric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2026-07-22T01:01:31Z</dcterms:created>
  <dcterms:modified xsi:type="dcterms:W3CDTF">2026-07-22T01:01:31Z</dcterms:modified>
</cp:coreProperties>
</file>

<file path=docProps/custom.xml><?xml version="1.0" encoding="utf-8"?>
<Properties xmlns="http://schemas.openxmlformats.org/officeDocument/2006/custom-properties" xmlns:vt="http://schemas.openxmlformats.org/officeDocument/2006/docPropsVTypes"/>
</file>