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uv-earnings-predictions--2026-07-22"/>
    <w:p>
      <w:pPr>
        <w:pStyle w:val="Heading1"/>
      </w:pPr>
      <w:r>
        <w:t xml:space="preserve">LUV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~$0.60 vs. cons $0.55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RASM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~18.0% vs. cons 17.5%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CASM-X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~3.6% vs. cons 3.7%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RASM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~12.5% vs. cons 11.5%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CASM-X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~3.5% vs. cons 3.8%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objective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~$4.00 vs. cons $3.85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capacity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~2.0% vs. cons 2.0%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+6.5% (FOLLOW-THROUGH)</w:t>
            </w:r>
          </w:p>
        </w:tc>
        <w:tc>
          <w:tcPr/>
          <w:p>
            <w:pPr>
              <w:pStyle w:val="Compact"/>
            </w:pPr>
            <w:r>
              <w:t xml:space="preserve">A revenue-led EPS beat, 3Q26 RASM guide of ~12.5% versus ~11.5% consensus, and maintenance of the ~</w:t>
            </w:r>
            <m:oMath>
              <m:r>
                <m:t>4.00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o</m:t>
              </m:r>
              <m:r>
                <m:t>b</m:t>
              </m:r>
              <m:r>
                <m:t>j</m:t>
              </m:r>
              <m:r>
                <m:t>e</m:t>
              </m:r>
              <m:r>
                <m:t>c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3.85 consensus should drive upward out-period estimates rather than leave the beat offset by implicit cuts.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2026-07-22T00:58:22Z</dcterms:created>
  <dcterms:modified xsi:type="dcterms:W3CDTF">2026-07-22T00:58:22Z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