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8954bb17a05c23916566a7ffc0070e984dac291"/>
    <w:p>
      <w:pPr>
        <w:pStyle w:val="Heading1"/>
      </w:pPr>
      <w:r>
        <w:t xml:space="preserve">Southwest Airlines (NYSE: LUV) — 2Q26 Earnings Preview</w:t>
      </w:r>
    </w:p>
    <w:p>
      <w:pPr>
        <w:pStyle w:val="BlockText"/>
      </w:pPr>
      <w:r>
        <w:rPr>
          <w:b/>
          <w:bCs/>
        </w:rPr>
        <w:t xml:space="preserve">Timing note:</w:t>
      </w:r>
      <w:r>
        <w:t xml:space="preserve"> </w:t>
      </w:r>
      <w:r>
        <w:t xml:space="preserve">Today is</w:t>
      </w:r>
      <w:r>
        <w:t xml:space="preserve"> </w:t>
      </w:r>
      <w:r>
        <w:rPr>
          <w:b/>
          <w:bCs/>
        </w:rPr>
        <w:t xml:space="preserve">Wednesday, July 22, 2026</w:t>
      </w:r>
      <w:r>
        <w:t xml:space="preserve">. The prompt describes the report as “tomorrow” but also lists</w:t>
      </w:r>
      <w:r>
        <w:t xml:space="preserve"> </w:t>
      </w:r>
      <w:r>
        <w:rPr>
          <w:b/>
          <w:bCs/>
        </w:rPr>
        <w:t xml:space="preserve">July 22, 2026</w:t>
      </w:r>
      <w:r>
        <w:t xml:space="preserve">; those dates conflict. This preview therefore treats the 2Q26 release as</w:t>
      </w:r>
      <w:r>
        <w:t xml:space="preserve"> </w:t>
      </w:r>
      <w:r>
        <w:rPr>
          <w:b/>
          <w:bCs/>
        </w:rPr>
        <w:t xml:space="preserve">imminent</w:t>
      </w:r>
      <w:r>
        <w:t xml:space="preserve">.</w:t>
      </w:r>
    </w:p>
    <w:bookmarkStart w:id="9" w:name="Xa281087c020a2c2e4676b3b9397fb35eec9cf10"/>
    <w:p>
      <w:pPr>
        <w:pStyle w:val="Heading2"/>
      </w:pPr>
      <w:r>
        <w:t xml:space="preserve">The setup: the first full test of Southwest’s transformed model</w:t>
      </w:r>
    </w:p>
    <w:p>
      <w:pPr>
        <w:pStyle w:val="FirstParagraph"/>
      </w:pPr>
      <w:r>
        <w:t xml:space="preserve">Southwest enters 2Q26 with a much different earnings setup than a year ago. The company’s assigned seating, extra-legroom products, bag fees, revised fare architecture, and revenue-management changes are now fully in market. In 1Q26, that translated into an</w:t>
      </w:r>
      <w:r>
        <w:t xml:space="preserve"> </w:t>
      </w:r>
      <w:r>
        <w:rPr>
          <w:b/>
          <w:bCs/>
        </w:rPr>
        <w:t xml:space="preserve">11.2% year-over-year RASM increase</w:t>
      </w:r>
      <w:r>
        <w:t xml:space="preserve">, a</w:t>
      </w:r>
      <w:r>
        <w:t xml:space="preserve"> </w:t>
      </w:r>
      <w:r>
        <w:rPr>
          <w:b/>
          <w:bCs/>
        </w:rPr>
        <w:t xml:space="preserve">4.6% operating margin</w:t>
      </w:r>
      <w:r>
        <w:t xml:space="preserve">, and</w:t>
      </w:r>
      <w:r>
        <w:t xml:space="preserve"> </w:t>
      </w:r>
      <m:oMath>
        <m:r>
          <m:t>0.45</m:t>
        </m:r>
        <m:r>
          <m:t>o</m:t>
        </m:r>
        <m:r>
          <m:t>f</m:t>
        </m:r>
        <m:r>
          <m:t>E</m:t>
        </m:r>
        <m:r>
          <m:t>P</m:t>
        </m:r>
        <m:r>
          <m:t>S</m:t>
        </m:r>
        <m:r>
          <m:rPr>
            <m:sty m:val="p"/>
          </m:rPr>
          <m:t>*</m:t>
        </m:r>
        <m:r>
          <m:rPr>
            <m:sty m:val="p"/>
          </m:rPr>
          <m:t>*</m:t>
        </m:r>
        <m:r>
          <m:rPr>
            <m:sty m:val="p"/>
          </m:rPr>
          <m:t>,</m:t>
        </m:r>
        <m:r>
          <m:t>d</m:t>
        </m:r>
        <m:r>
          <m:t>e</m:t>
        </m:r>
        <m:r>
          <m:t>s</m:t>
        </m:r>
        <m:r>
          <m:t>p</m:t>
        </m:r>
        <m:r>
          <m:t>i</m:t>
        </m:r>
        <m:r>
          <m:t>t</m:t>
        </m:r>
        <m:r>
          <m:t>e</m:t>
        </m:r>
        <m:r>
          <m:t>a</m:t>
        </m:r>
        <m:r>
          <m:t>r</m:t>
        </m:r>
        <m:r>
          <m:t>o</m:t>
        </m:r>
        <m:r>
          <m:t>u</m:t>
        </m:r>
        <m:r>
          <m:t>g</m:t>
        </m:r>
        <m:r>
          <m:t>h</m:t>
        </m:r>
        <m:r>
          <m:t>l</m:t>
        </m:r>
        <m:r>
          <m:t>y</m:t>
        </m:r>
        <m:r>
          <m:rPr>
            <m:sty m:val="p"/>
          </m:rPr>
          <m:t>*</m:t>
        </m:r>
        <m:r>
          <m:rPr>
            <m:sty m:val="p"/>
          </m:rPr>
          <m:t>*</m:t>
        </m:r>
      </m:oMath>
      <w:r>
        <w:rPr>
          <w:b/>
          <w:bCs/>
        </w:rPr>
        <w:t xml:space="preserve">0.22-per-share fuel headwind</w:t>
      </w:r>
      <w:r>
        <w:t xml:space="preserve"> </w:t>
      </w:r>
      <w:r>
        <w:t xml:space="preserve">versus its prior fuel assumption.</w:t>
      </w:r>
    </w:p>
    <w:p>
      <w:pPr>
        <w:pStyle w:val="BodyText"/>
      </w:pPr>
      <w:r>
        <w:t xml:space="preserve">For 2Q26, management guided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2Q26 guidance</w:t>
            </w:r>
          </w:p>
        </w:tc>
      </w:tr>
      <w:tr>
        <w:tc>
          <w:tcPr/>
          <w:p>
            <w:pPr>
              <w:pStyle w:val="Compact"/>
            </w:pPr>
            <w:r>
              <w:t xml:space="preserve">Adjusted EPS</w:t>
            </w:r>
          </w:p>
        </w:tc>
        <w:tc>
          <w:tcPr/>
          <w:p>
            <w:pPr>
              <w:pStyle w:val="Compact"/>
              <w:jc w:val="right"/>
            </w:pPr>
            <m:oMath>
              <m:r>
                <m:t>0.35</m:t>
              </m:r>
              <m:r>
                <m:rPr>
                  <m:sty m:val="p"/>
                </m:rPr>
                <m:t>–</m:t>
              </m:r>
            </m:oMath>
            <w:r>
              <w:rPr>
                <w:b/>
                <w:bCs/>
              </w:rPr>
              <w:t xml:space="preserve">0.65</w:t>
            </w:r>
          </w:p>
        </w:tc>
      </w:tr>
      <w:tr>
        <w:tc>
          <w:tcPr/>
          <w:p>
            <w:pPr>
              <w:pStyle w:val="Compact"/>
            </w:pPr>
            <w:r>
              <w:t xml:space="preserve">Capacity / ASMs</w:t>
            </w:r>
          </w:p>
        </w:tc>
        <w:tc>
          <w:tcPr/>
          <w:p>
            <w:pPr>
              <w:pStyle w:val="Compact"/>
              <w:jc w:val="right"/>
            </w:pPr>
            <w:r>
              <w:rPr>
                <w:b/>
                <w:bCs/>
              </w:rPr>
              <w:t xml:space="preserve">Flat to +1% YoY</w:t>
            </w:r>
          </w:p>
        </w:tc>
      </w:tr>
      <w:tr>
        <w:tc>
          <w:tcPr/>
          <w:p>
            <w:pPr>
              <w:pStyle w:val="Compact"/>
            </w:pPr>
            <w:r>
              <w:t xml:space="preserve">RASM</w:t>
            </w:r>
          </w:p>
        </w:tc>
        <w:tc>
          <w:tcPr/>
          <w:p>
            <w:pPr>
              <w:pStyle w:val="Compact"/>
              <w:jc w:val="right"/>
            </w:pPr>
            <w:r>
              <w:rPr>
                <w:b/>
                <w:bCs/>
              </w:rPr>
              <w:t xml:space="preserve">+16.5% to +18.5% YoY</w:t>
            </w:r>
          </w:p>
        </w:tc>
      </w:tr>
      <w:tr>
        <w:tc>
          <w:tcPr/>
          <w:p>
            <w:pPr>
              <w:pStyle w:val="Compact"/>
            </w:pPr>
            <w:r>
              <w:t xml:space="preserve">CASM-X</w:t>
            </w:r>
          </w:p>
        </w:tc>
        <w:tc>
          <w:tcPr/>
          <w:p>
            <w:pPr>
              <w:pStyle w:val="Compact"/>
              <w:jc w:val="right"/>
            </w:pPr>
            <w:r>
              <w:rPr>
                <w:b/>
                <w:bCs/>
              </w:rPr>
              <w:t xml:space="preserve">+3.5% to +4.0% YoY</w:t>
            </w:r>
          </w:p>
        </w:tc>
      </w:tr>
      <w:tr>
        <w:tc>
          <w:tcPr/>
          <w:p>
            <w:pPr>
              <w:pStyle w:val="Compact"/>
            </w:pPr>
            <w:r>
              <w:t xml:space="preserve">Fuel cost</w:t>
            </w:r>
          </w:p>
        </w:tc>
        <w:tc>
          <w:tcPr/>
          <w:p>
            <w:pPr>
              <w:pStyle w:val="Compact"/>
              <w:jc w:val="right"/>
            </w:pPr>
            <m:oMath>
              <m:r>
                <m:t>4.10</m:t>
              </m:r>
              <m:r>
                <m:rPr>
                  <m:sty m:val="p"/>
                </m:rPr>
                <m:t>–</m:t>
              </m:r>
            </m:oMath>
            <w:r>
              <w:rPr>
                <w:b/>
                <w:bCs/>
              </w:rPr>
              <w:t xml:space="preserve">4.15/gallon</w:t>
            </w:r>
          </w:p>
        </w:tc>
      </w:tr>
    </w:tbl>
    <w:p>
      <w:pPr>
        <w:pStyle w:val="BodyText"/>
      </w:pPr>
      <w:r>
        <w:t xml:space="preserve">The headline is straightforward:</w:t>
      </w:r>
      <w:r>
        <w:t xml:space="preserve"> </w:t>
      </w:r>
      <w:r>
        <w:rPr>
          <w:b/>
          <w:bCs/>
        </w:rPr>
        <w:t xml:space="preserve">revenue momentum should be exceptional, but fuel is absorbing a meaningful portion of the benefit.</w:t>
      </w:r>
      <w:r>
        <w:t xml:space="preserve"> </w:t>
      </w:r>
      <w:r>
        <w:t xml:space="preserve">The market will likely care less about whether LUV lands at the midpoint of EPS guidance than whether its commercial initiatives are proving durable enough to sustain margin expansion through the second half.</w:t>
      </w:r>
    </w:p>
    <w:bookmarkEnd w:id="9"/>
    <w:bookmarkStart w:id="15" w:name="what-investors-need-to-watch"/>
    <w:p>
      <w:pPr>
        <w:pStyle w:val="Heading2"/>
      </w:pPr>
      <w:r>
        <w:t xml:space="preserve">What investors need to watch</w:t>
      </w:r>
    </w:p>
    <w:bookmarkStart w:id="10" w:name="X9132b6a242103082d3fea34557ab4d376e4eebf"/>
    <w:p>
      <w:pPr>
        <w:pStyle w:val="Heading3"/>
      </w:pPr>
      <w:r>
        <w:t xml:space="preserve">1. RASM: can Southwest deliver on its unusually high guide?</w:t>
      </w:r>
    </w:p>
    <w:p>
      <w:pPr>
        <w:pStyle w:val="FirstParagraph"/>
      </w:pPr>
      <w:r>
        <w:t xml:space="preserve">The key report-card item is unit revenue. Southwest’s</w:t>
      </w:r>
      <w:r>
        <w:t xml:space="preserve"> </w:t>
      </w:r>
      <w:r>
        <w:rPr>
          <w:b/>
          <w:bCs/>
        </w:rPr>
        <w:t xml:space="preserve">+16.5% to +18.5%</w:t>
      </w:r>
      <w:r>
        <w:t xml:space="preserve"> </w:t>
      </w:r>
      <w:r>
        <w:t xml:space="preserve">2Q RASM outlook is dramatically above its 2Q25 result, when RASM fell</w:t>
      </w:r>
      <w:r>
        <w:t xml:space="preserve"> </w:t>
      </w:r>
      <w:r>
        <w:rPr>
          <w:b/>
          <w:bCs/>
        </w:rPr>
        <w:t xml:space="preserve">3.1%</w:t>
      </w:r>
      <w:r>
        <w:t xml:space="preserve"> </w:t>
      </w:r>
      <w:r>
        <w:t xml:space="preserve">on capacity growth of 1.6%.</w:t>
      </w:r>
    </w:p>
    <w:p>
      <w:pPr>
        <w:pStyle w:val="BodyText"/>
      </w:pPr>
      <w:r>
        <w:t xml:space="preserve">That guidance implies a very large revenue step-up. Using 2Q25 operating revenue of</w:t>
      </w:r>
      <w:r>
        <w:t xml:space="preserve"> </w:t>
      </w:r>
      <m:oMath>
        <m:r>
          <m:t>7.24</m:t>
        </m:r>
        <m:r>
          <m:t>b</m:t>
        </m:r>
        <m:r>
          <m:t>i</m:t>
        </m:r>
        <m:r>
          <m:t>l</m:t>
        </m:r>
        <m:r>
          <m:t>l</m:t>
        </m:r>
        <m:r>
          <m:t>i</m:t>
        </m:r>
        <m:r>
          <m:t>o</m:t>
        </m:r>
        <m:r>
          <m:t>n</m:t>
        </m:r>
        <m:r>
          <m:rPr>
            <m:sty m:val="p"/>
          </m:rPr>
          <m:t>*</m:t>
        </m:r>
        <m:r>
          <m:rPr>
            <m:sty m:val="p"/>
          </m:rPr>
          <m:t>*</m:t>
        </m:r>
        <m:r>
          <m:t>a</m:t>
        </m:r>
        <m:r>
          <m:t>s</m:t>
        </m:r>
        <m:r>
          <m:t>a</m:t>
        </m:r>
        <m:r>
          <m:t>b</m:t>
        </m:r>
        <m:r>
          <m:t>a</m:t>
        </m:r>
        <m:r>
          <m:t>s</m:t>
        </m:r>
        <m:r>
          <m:t>e</m:t>
        </m:r>
        <m:r>
          <m:rPr>
            <m:sty m:val="p"/>
          </m:rPr>
          <m:t>,</m:t>
        </m:r>
        <m:r>
          <m:t>t</m:t>
        </m:r>
        <m:r>
          <m:t>h</m:t>
        </m:r>
        <m:r>
          <m:t>e</m:t>
        </m:r>
        <m:r>
          <m:t>c</m:t>
        </m:r>
        <m:r>
          <m:t>o</m:t>
        </m:r>
        <m:r>
          <m:t>m</m:t>
        </m:r>
        <m:r>
          <m:t>p</m:t>
        </m:r>
        <m:r>
          <m:t>a</m:t>
        </m:r>
        <m:r>
          <m:t>n</m:t>
        </m:r>
        <m:r>
          <m:t>y</m:t>
        </m:r>
        <m:r>
          <m:rPr>
            <m:sty m:val="p"/>
          </m:rPr>
          <m:t>’</m:t>
        </m:r>
        <m:r>
          <m:t>s</m:t>
        </m:r>
        <m:r>
          <m:t>R</m:t>
        </m:r>
        <m:r>
          <m:t>A</m:t>
        </m:r>
        <m:r>
          <m:t>S</m:t>
        </m:r>
        <m:r>
          <m:t>M</m:t>
        </m:r>
        <m:r>
          <m:t>a</m:t>
        </m:r>
        <m:r>
          <m:t>n</m:t>
        </m:r>
        <m:r>
          <m:t>d</m:t>
        </m:r>
        <m:r>
          <m:t>c</m:t>
        </m:r>
        <m:r>
          <m:t>a</m:t>
        </m:r>
        <m:r>
          <m:t>p</m:t>
        </m:r>
        <m:r>
          <m:t>a</m:t>
        </m:r>
        <m:r>
          <m:t>c</m:t>
        </m:r>
        <m:r>
          <m:t>i</m:t>
        </m:r>
        <m:r>
          <m:t>t</m:t>
        </m:r>
        <m:r>
          <m:t>y</m:t>
        </m:r>
        <m:r>
          <m:t>o</m:t>
        </m:r>
        <m:r>
          <m:t>u</m:t>
        </m:r>
        <m:r>
          <m:t>t</m:t>
        </m:r>
        <m:r>
          <m:t>l</m:t>
        </m:r>
        <m:r>
          <m:t>o</m:t>
        </m:r>
        <m:r>
          <m:t>o</m:t>
        </m:r>
        <m:r>
          <m:t>k</m:t>
        </m:r>
        <m:r>
          <m:t>b</m:t>
        </m:r>
        <m:r>
          <m:t>r</m:t>
        </m:r>
        <m:r>
          <m:t>o</m:t>
        </m:r>
        <m:r>
          <m:t>a</m:t>
        </m:r>
        <m:r>
          <m:t>d</m:t>
        </m:r>
        <m:r>
          <m:t>l</m:t>
        </m:r>
        <m:r>
          <m:t>y</m:t>
        </m:r>
        <m:r>
          <m:t>p</m:t>
        </m:r>
        <m:r>
          <m:t>o</m:t>
        </m:r>
        <m:r>
          <m:t>i</m:t>
        </m:r>
        <m:r>
          <m:t>n</m:t>
        </m:r>
        <m:r>
          <m:t>t</m:t>
        </m:r>
        <m:r>
          <m:t>s</m:t>
        </m:r>
        <m:r>
          <m:t>t</m:t>
        </m:r>
        <m:r>
          <m:t>o</m:t>
        </m:r>
        <m:r>
          <m:t>a</m:t>
        </m:r>
        <m:r>
          <m:t>p</m:t>
        </m:r>
        <m:r>
          <m:t>p</m:t>
        </m:r>
        <m:r>
          <m:t>r</m:t>
        </m:r>
        <m:r>
          <m:t>o</m:t>
        </m:r>
        <m:r>
          <m:t>x</m:t>
        </m:r>
        <m:r>
          <m:t>i</m:t>
        </m:r>
        <m:r>
          <m:t>m</m:t>
        </m:r>
        <m:r>
          <m:t>a</m:t>
        </m:r>
        <m:r>
          <m:t>t</m:t>
        </m:r>
        <m:r>
          <m:t>e</m:t>
        </m:r>
        <m:r>
          <m:t>l</m:t>
        </m:r>
        <m:r>
          <m:t>y</m:t>
        </m:r>
        <m:r>
          <m:rPr>
            <m:sty m:val="p"/>
          </m:rPr>
          <m:t>*</m:t>
        </m:r>
        <m:r>
          <m:rPr>
            <m:sty m:val="p"/>
          </m:rPr>
          <m:t>*</m:t>
        </m:r>
      </m:oMath>
      <w:r>
        <w:rPr>
          <w:b/>
          <w:bCs/>
        </w:rPr>
        <w:t xml:space="preserve">8.4 billion–$8.7 billion</w:t>
      </w:r>
      <w:r>
        <w:t xml:space="preserve"> </w:t>
      </w:r>
      <w:r>
        <w:t xml:space="preserve">in 2Q26 operating revenue, before any rounding or mix effects.</w:t>
      </w:r>
    </w:p>
    <w:p>
      <w:pPr>
        <w:pStyle w:val="BodyText"/>
      </w:pPr>
      <w:r>
        <w:t xml:space="preserve">The more important question is</w:t>
      </w:r>
      <w:r>
        <w:t xml:space="preserve"> </w:t>
      </w:r>
      <w:r>
        <w:rPr>
          <w:b/>
          <w:bCs/>
        </w:rPr>
        <w:t xml:space="preserve">quality and composition</w:t>
      </w:r>
      <w:r>
        <w:t xml:space="preserve">:</w:t>
      </w:r>
    </w:p>
    <w:p>
      <w:pPr>
        <w:pStyle w:val="Compact"/>
        <w:numPr>
          <w:ilvl w:val="0"/>
          <w:numId w:val="1001"/>
        </w:numPr>
      </w:pPr>
      <w:r>
        <w:t xml:space="preserve">How much of RASM growth came from higher base fares and industry fuel recapture?</w:t>
      </w:r>
    </w:p>
    <w:p>
      <w:pPr>
        <w:pStyle w:val="Compact"/>
        <w:numPr>
          <w:ilvl w:val="0"/>
          <w:numId w:val="1001"/>
        </w:numPr>
      </w:pPr>
      <w:r>
        <w:t xml:space="preserve">How much was driven by Southwest-specific monetization—assigned seating, extra legroom, bag fees, fare-family buy-up, and business-travel traction?</w:t>
      </w:r>
    </w:p>
    <w:p>
      <w:pPr>
        <w:pStyle w:val="Compact"/>
        <w:numPr>
          <w:ilvl w:val="0"/>
          <w:numId w:val="1001"/>
        </w:numPr>
      </w:pPr>
      <w:r>
        <w:t xml:space="preserve">Did the company preserve its favorable pricing into June, or did demand elasticity emerge as fares rose?</w:t>
      </w:r>
    </w:p>
    <w:p>
      <w:pPr>
        <w:pStyle w:val="FirstParagraph"/>
      </w:pPr>
      <w:r>
        <w:t xml:space="preserve">Management said in April that at least half of its 1Q yield increase was attributable to customers voluntarily purchasing up into higher products. It also reported that roughly</w:t>
      </w:r>
      <w:r>
        <w:t xml:space="preserve"> </w:t>
      </w:r>
      <w:r>
        <w:rPr>
          <w:b/>
          <w:bCs/>
        </w:rPr>
        <w:t xml:space="preserve">60% of customers upgraded from the base product</w:t>
      </w:r>
      <w:r>
        <w:t xml:space="preserve">, versus approximately 20% in 2025. Confirmation that this behavior persisted through the peak summer period would be the most important fundamental positive.</w:t>
      </w:r>
    </w:p>
    <w:bookmarkEnd w:id="10"/>
    <w:bookmarkStart w:id="11" w:name="Xcd4db5beb780a58399ac10a22607e1f5392c443"/>
    <w:p>
      <w:pPr>
        <w:pStyle w:val="Heading3"/>
      </w:pPr>
      <w:r>
        <w:t xml:space="preserve">2. Fuel: the central offset to otherwise strong execution</w:t>
      </w:r>
    </w:p>
    <w:p>
      <w:pPr>
        <w:pStyle w:val="FirstParagraph"/>
      </w:pPr>
      <w:r>
        <w:t xml:space="preserve">Southwest discontinued its fuel-hedging program in 2025. That makes quarterly earnings more directly exposed to jet-fuel moves than in the past.</w:t>
      </w:r>
    </w:p>
    <w:p>
      <w:pPr>
        <w:pStyle w:val="BodyText"/>
      </w:pPr>
      <w:r>
        <w:t xml:space="preserve">The contrast is stark:</w:t>
      </w:r>
    </w:p>
    <w:p>
      <w:pPr>
        <w:pStyle w:val="Compact"/>
        <w:numPr>
          <w:ilvl w:val="0"/>
          <w:numId w:val="1002"/>
        </w:numPr>
      </w:pPr>
      <w:r>
        <w:rPr>
          <w:b/>
          <w:bCs/>
        </w:rPr>
        <w:t xml:space="preserve">2Q25 fuel cost:</w:t>
      </w:r>
      <w:r>
        <w:t xml:space="preserve"> </w:t>
      </w:r>
      <w:r>
        <w:t xml:space="preserve">$2.32/gallon</w:t>
      </w:r>
    </w:p>
    <w:p>
      <w:pPr>
        <w:pStyle w:val="Compact"/>
        <w:numPr>
          <w:ilvl w:val="0"/>
          <w:numId w:val="1002"/>
        </w:numPr>
      </w:pPr>
      <w:r>
        <w:rPr>
          <w:b/>
          <w:bCs/>
        </w:rPr>
        <w:t xml:space="preserve">2Q26 guided fuel cost:</w:t>
      </w:r>
      <w:r>
        <w:t xml:space="preserve"> </w:t>
      </w:r>
      <m:oMath>
        <m:r>
          <m:t>4.10</m:t>
        </m:r>
        <m:r>
          <m:rPr>
            <m:sty m:val="p"/>
          </m:rPr>
          <m:t>–</m:t>
        </m:r>
      </m:oMath>
      <w:r>
        <w:t xml:space="preserve">4.15/gallon</w:t>
      </w:r>
    </w:p>
    <w:p>
      <w:pPr>
        <w:pStyle w:val="FirstParagraph"/>
      </w:pPr>
      <w:r>
        <w:t xml:space="preserve">The company indicated in April that elevated fuel was the principal factor preventing it from reaffirming its full-year</w:t>
      </w:r>
      <w:r>
        <w:t xml:space="preserve"> </w:t>
      </w:r>
      <w:r>
        <w:rPr>
          <w:b/>
          <w:bCs/>
        </w:rPr>
        <w:t xml:space="preserve">$4.00 adjusted EPS</w:t>
      </w:r>
      <w:r>
        <w:t xml:space="preserve"> </w:t>
      </w:r>
      <w:r>
        <w:t xml:space="preserve">objective with greater confidence. Management’s message was effectively: the transformation is performing at or somewhat ahead of plan, but the path to $4 depends on fuel and revenue trends.</w:t>
      </w:r>
    </w:p>
    <w:p>
      <w:pPr>
        <w:pStyle w:val="BodyText"/>
      </w:pPr>
      <w:r>
        <w:t xml:space="preserve">For investors, the important items are:</w:t>
      </w:r>
    </w:p>
    <w:p>
      <w:pPr>
        <w:pStyle w:val="Compact"/>
        <w:numPr>
          <w:ilvl w:val="0"/>
          <w:numId w:val="1003"/>
        </w:numPr>
      </w:pPr>
      <w:r>
        <w:t xml:space="preserve">Actual fuel cost versus the</w:t>
      </w:r>
      <w:r>
        <w:t xml:space="preserve"> </w:t>
      </w:r>
      <m:oMath>
        <m:r>
          <m:t>4.10</m:t>
        </m:r>
        <m:r>
          <m:rPr>
            <m:sty m:val="p"/>
          </m:rPr>
          <m:t>–</m:t>
        </m:r>
      </m:oMath>
      <w:r>
        <w:t xml:space="preserve">4.15 planning range;</w:t>
      </w:r>
    </w:p>
    <w:p>
      <w:pPr>
        <w:pStyle w:val="Compact"/>
        <w:numPr>
          <w:ilvl w:val="0"/>
          <w:numId w:val="1003"/>
        </w:numPr>
      </w:pPr>
      <w:r>
        <w:t xml:space="preserve">Whether fare actions have recovered more of the fuel increase than management embedded in its guide;</w:t>
      </w:r>
    </w:p>
    <w:p>
      <w:pPr>
        <w:pStyle w:val="Compact"/>
        <w:numPr>
          <w:ilvl w:val="0"/>
          <w:numId w:val="1003"/>
        </w:numPr>
      </w:pPr>
      <w:r>
        <w:t xml:space="preserve">The fuel assumption underpinning any 3Q or full-year commentary.</w:t>
      </w:r>
    </w:p>
    <w:p>
      <w:pPr>
        <w:pStyle w:val="FirstParagraph"/>
      </w:pPr>
      <w:r>
        <w:t xml:space="preserve">A beat caused solely by lower-than-assumed fuel would be less valuable than a beat driven by incremental RASM or lower CASM-X.</w:t>
      </w:r>
    </w:p>
    <w:bookmarkEnd w:id="11"/>
    <w:bookmarkStart w:id="12" w:name="X033a4bd5c922fdbb5bf5ff71de635b8e3d09959"/>
    <w:p>
      <w:pPr>
        <w:pStyle w:val="Heading3"/>
      </w:pPr>
      <w:r>
        <w:t xml:space="preserve">3. Is the revenue transformation still accelerating?</w:t>
      </w:r>
    </w:p>
    <w:p>
      <w:pPr>
        <w:pStyle w:val="FirstParagraph"/>
      </w:pPr>
      <w:r>
        <w:t xml:space="preserve">The 2Q release should offer the clearest evidence yet on whether Southwest’s strategic reset is creating a structurally higher-margin airline rather than simply benefiting from a favorable pricing environment.</w:t>
      </w:r>
    </w:p>
    <w:p>
      <w:pPr>
        <w:pStyle w:val="BodyText"/>
      </w:pPr>
      <w:r>
        <w:t xml:space="preserve">The proof points to watch include:</w:t>
      </w:r>
    </w:p>
    <w:p>
      <w:pPr>
        <w:pStyle w:val="Compact"/>
        <w:numPr>
          <w:ilvl w:val="0"/>
          <w:numId w:val="1004"/>
        </w:numPr>
      </w:pPr>
      <w:r>
        <w:rPr>
          <w:b/>
          <w:bCs/>
        </w:rPr>
        <w:t xml:space="preserve">Corporate / managed-business revenue:</w:t>
      </w:r>
      <w:r>
        <w:t xml:space="preserve"> </w:t>
      </w:r>
      <w:r>
        <w:t xml:space="preserve">It rose 16% in 1Q and 25% in March. Sustained double-digit growth would validate the view that assigned seating and premium seating have made Southwest more competitive for higher-yield travelers.</w:t>
      </w:r>
    </w:p>
    <w:p>
      <w:pPr>
        <w:pStyle w:val="Compact"/>
        <w:numPr>
          <w:ilvl w:val="0"/>
          <w:numId w:val="1004"/>
        </w:numPr>
      </w:pPr>
      <w:r>
        <w:rPr>
          <w:b/>
          <w:bCs/>
        </w:rPr>
        <w:t xml:space="preserve">Buy-up and ancillary attachment:</w:t>
      </w:r>
      <w:r>
        <w:t xml:space="preserve"> </w:t>
      </w:r>
      <w:r>
        <w:t xml:space="preserve">Watch for update on the mix of customers purchasing above the base fare, revenue from extra-legroom seats, and the balance of cash versus Rapid Rewards redemptions.</w:t>
      </w:r>
    </w:p>
    <w:p>
      <w:pPr>
        <w:pStyle w:val="Compact"/>
        <w:numPr>
          <w:ilvl w:val="0"/>
          <w:numId w:val="1004"/>
        </w:numPr>
      </w:pPr>
      <w:r>
        <w:rPr>
          <w:b/>
          <w:bCs/>
        </w:rPr>
        <w:t xml:space="preserve">Rapid Rewards / card economics:</w:t>
      </w:r>
      <w:r>
        <w:t xml:space="preserve"> </w:t>
      </w:r>
      <w:r>
        <w:t xml:space="preserve">In 1Q, card remuneration rose roughly 8% year over year. Commentary on premium-card development, enrollment, and loyalty monetization could matter for the longer-term earnings algorithm.</w:t>
      </w:r>
    </w:p>
    <w:p>
      <w:pPr>
        <w:pStyle w:val="Compact"/>
        <w:numPr>
          <w:ilvl w:val="0"/>
          <w:numId w:val="1004"/>
        </w:numPr>
      </w:pPr>
      <w:r>
        <w:rPr>
          <w:b/>
          <w:bCs/>
        </w:rPr>
        <w:t xml:space="preserve">Network optimization:</w:t>
      </w:r>
      <w:r>
        <w:t xml:space="preserve"> </w:t>
      </w:r>
      <w:r>
        <w:t xml:space="preserve">Southwest has exited lower-return operations at Chicago O’Hare and Washington Dulles and redirected flying toward stronger markets. Evidence of better profitability—not merely higher load factors—is the goal.</w:t>
      </w:r>
    </w:p>
    <w:p>
      <w:pPr>
        <w:pStyle w:val="FirstParagraph"/>
      </w:pPr>
      <w:r>
        <w:t xml:space="preserve">Management has been explicit that it is prioritizing</w:t>
      </w:r>
      <w:r>
        <w:t xml:space="preserve"> </w:t>
      </w:r>
      <w:r>
        <w:rPr>
          <w:b/>
          <w:bCs/>
        </w:rPr>
        <w:t xml:space="preserve">RASM and margins over market share or full aircraft</w:t>
      </w:r>
      <w:r>
        <w:t xml:space="preserve">. That means a modestly lower load factor should not automatically be viewed negatively if it accompanies materially stronger yield and unit revenue.</w:t>
      </w:r>
    </w:p>
    <w:bookmarkEnd w:id="12"/>
    <w:bookmarkStart w:id="13" w:name="X2131d5535d91b5de016a4b45ece331140f9d29d"/>
    <w:p>
      <w:pPr>
        <w:pStyle w:val="Heading3"/>
      </w:pPr>
      <w:r>
        <w:t xml:space="preserve">4. Costs: protect the revenue win</w:t>
      </w:r>
    </w:p>
    <w:p>
      <w:pPr>
        <w:pStyle w:val="FirstParagraph"/>
      </w:pPr>
      <w:r>
        <w:t xml:space="preserve">Southwest guided 2Q CASM-X up</w:t>
      </w:r>
      <w:r>
        <w:t xml:space="preserve"> </w:t>
      </w:r>
      <w:r>
        <w:rPr>
          <w:b/>
          <w:bCs/>
        </w:rPr>
        <w:t xml:space="preserve">3.5%–4.0%</w:t>
      </w:r>
      <w:r>
        <w:t xml:space="preserve">, including a roughly</w:t>
      </w:r>
      <w:r>
        <w:t xml:space="preserve"> </w:t>
      </w:r>
      <w:r>
        <w:rPr>
          <w:b/>
          <w:bCs/>
        </w:rPr>
        <w:t xml:space="preserve">1.2-point headwind</w:t>
      </w:r>
      <w:r>
        <w:t xml:space="preserve"> </w:t>
      </w:r>
      <w:r>
        <w:t xml:space="preserve">from removing six seats from 737-700 aircraft to create extra-legroom capacity.</w:t>
      </w:r>
    </w:p>
    <w:p>
      <w:pPr>
        <w:pStyle w:val="BodyText"/>
      </w:pPr>
      <w:r>
        <w:t xml:space="preserve">That is a reasonable cost outcome given low capacity growth, but investors should focus on the underlying run rate. In 1Q, CASM-X rose just</w:t>
      </w:r>
      <w:r>
        <w:t xml:space="preserve"> </w:t>
      </w:r>
      <w:r>
        <w:rPr>
          <w:b/>
          <w:bCs/>
        </w:rPr>
        <w:t xml:space="preserve">2.3%</w:t>
      </w:r>
      <w:r>
        <w:t xml:space="preserve">, better than expected, helped by operational efficiency, technology spending discipline, maintenance optimization, and a fleet shift toward newer 737-8 aircraft.</w:t>
      </w:r>
    </w:p>
    <w:p>
      <w:pPr>
        <w:pStyle w:val="BodyText"/>
      </w:pPr>
      <w:r>
        <w:t xml:space="preserve">A favorable 2Q cost outcome would reinforce management’s claim that its improvement is structural. Conversely, CASM-X above guidance would raise concerns that low growth and product complexity are diluting the operating leverage from higher revenue.</w:t>
      </w:r>
    </w:p>
    <w:bookmarkEnd w:id="13"/>
    <w:bookmarkStart w:id="14" w:name="X91b4166849c231e98053674050085ae336a33f3"/>
    <w:p>
      <w:pPr>
        <w:pStyle w:val="Heading3"/>
      </w:pPr>
      <w:r>
        <w:t xml:space="preserve">5. Full-year EPS outlook and capital allocation</w:t>
      </w:r>
    </w:p>
    <w:p>
      <w:pPr>
        <w:pStyle w:val="FirstParagraph"/>
      </w:pPr>
      <w:r>
        <w:t xml:space="preserve">The biggest call question will likely be the status of the</w:t>
      </w:r>
      <w:r>
        <w:t xml:space="preserve"> </w:t>
      </w:r>
      <w:r>
        <w:rPr>
          <w:b/>
          <w:bCs/>
        </w:rPr>
        <w:t xml:space="preserve">$4.00 full-year adjusted EPS target</w:t>
      </w:r>
      <w:r>
        <w:t xml:space="preserve">. Management did not withdraw that target in April, but said hitting it would require lower fuel and/or stronger revenue performance.</w:t>
      </w:r>
    </w:p>
    <w:p>
      <w:pPr>
        <w:pStyle w:val="BodyText"/>
      </w:pPr>
      <w:r>
        <w:t xml:space="preserve">A constructive outcome would be:</w:t>
      </w:r>
    </w:p>
    <w:p>
      <w:pPr>
        <w:pStyle w:val="Compact"/>
        <w:numPr>
          <w:ilvl w:val="0"/>
          <w:numId w:val="1005"/>
        </w:numPr>
      </w:pPr>
      <w:r>
        <w:t xml:space="preserve">Maintaining the $4 target;</w:t>
      </w:r>
    </w:p>
    <w:p>
      <w:pPr>
        <w:pStyle w:val="Compact"/>
        <w:numPr>
          <w:ilvl w:val="0"/>
          <w:numId w:val="1005"/>
        </w:numPr>
      </w:pPr>
      <w:r>
        <w:t xml:space="preserve">Providing a clearer path to it through stronger commercial execution or a less adverse fuel outlook;</w:t>
      </w:r>
    </w:p>
    <w:p>
      <w:pPr>
        <w:pStyle w:val="Compact"/>
        <w:numPr>
          <w:ilvl w:val="0"/>
          <w:numId w:val="1005"/>
        </w:numPr>
      </w:pPr>
      <w:r>
        <w:t xml:space="preserve">Reaffirming that product initiatives should reach full run-rate contribution around 3Q26, with additional optimization opportunity thereafter.</w:t>
      </w:r>
    </w:p>
    <w:p>
      <w:pPr>
        <w:pStyle w:val="FirstParagraph"/>
      </w:pPr>
      <w:r>
        <w:t xml:space="preserve">Balance-sheet flexibility remains a relative strength. At March 31, Southwest had</w:t>
      </w:r>
      <w:r>
        <w:t xml:space="preserve"> </w:t>
      </w:r>
      <m:oMath>
        <m:r>
          <m:t>3.3</m:t>
        </m:r>
        <m:r>
          <m:t>b</m:t>
        </m:r>
        <m:r>
          <m:t>i</m:t>
        </m:r>
        <m:r>
          <m:t>l</m:t>
        </m:r>
        <m:r>
          <m:t>l</m:t>
        </m:r>
        <m:r>
          <m:t>i</m:t>
        </m:r>
        <m:r>
          <m:t>o</m:t>
        </m:r>
        <m:r>
          <m:t>n</m:t>
        </m:r>
        <m:r>
          <m:t>o</m:t>
        </m:r>
        <m:r>
          <m:t>f</m:t>
        </m:r>
        <m:r>
          <m:t>c</m:t>
        </m:r>
        <m:r>
          <m:t>a</m:t>
        </m:r>
        <m:r>
          <m:t>s</m:t>
        </m:r>
        <m:r>
          <m:t>h</m:t>
        </m:r>
        <m:r>
          <m:rPr>
            <m:sty m:val="p"/>
          </m:rPr>
          <m:t>*</m:t>
        </m:r>
        <m:r>
          <m:rPr>
            <m:sty m:val="p"/>
          </m:rPr>
          <m:t>*</m:t>
        </m:r>
        <m:r>
          <m:rPr>
            <m:sty m:val="p"/>
          </m:rPr>
          <m:t>,</m:t>
        </m:r>
        <m:r>
          <m:t>a</m:t>
        </m:r>
        <m:r>
          <m:rPr>
            <m:sty m:val="p"/>
          </m:rPr>
          <m:t>*</m:t>
        </m:r>
        <m:r>
          <m:rPr>
            <m:sty m:val="p"/>
          </m:rPr>
          <m:t>*</m:t>
        </m:r>
      </m:oMath>
      <w:r>
        <w:rPr>
          <w:b/>
          <w:bCs/>
        </w:rPr>
        <w:t xml:space="preserve">1.5 billion revolver</w:t>
      </w:r>
      <w:r>
        <w:t xml:space="preserve">, leverage of</w:t>
      </w:r>
      <w:r>
        <w:t xml:space="preserve"> </w:t>
      </w:r>
      <w:r>
        <w:rPr>
          <w:b/>
          <w:bCs/>
        </w:rPr>
        <w:t xml:space="preserve">2.2x adjusted debt to adjusted EBITDAR</w:t>
      </w:r>
      <w:r>
        <w:t xml:space="preserve">, and approximately</w:t>
      </w:r>
      <w:r>
        <w:t xml:space="preserve"> </w:t>
      </w:r>
      <m:oMath>
        <m:r>
          <m:t>16.5</m:t>
        </m:r>
        <m:r>
          <m:t>b</m:t>
        </m:r>
        <m:r>
          <m:t>i</m:t>
        </m:r>
        <m:r>
          <m:t>l</m:t>
        </m:r>
        <m:r>
          <m:t>l</m:t>
        </m:r>
        <m:r>
          <m:t>i</m:t>
        </m:r>
        <m:r>
          <m:t>o</m:t>
        </m:r>
        <m:r>
          <m:t>n</m:t>
        </m:r>
        <m:r>
          <m:rPr>
            <m:sty m:val="p"/>
          </m:rPr>
          <m:t>*</m:t>
        </m:r>
        <m:r>
          <m:rPr>
            <m:sty m:val="p"/>
          </m:rPr>
          <m:t>*</m:t>
        </m:r>
        <m:r>
          <m:t>o</m:t>
        </m:r>
        <m:r>
          <m:t>f</m:t>
        </m:r>
        <m:r>
          <m:t>u</m:t>
        </m:r>
        <m:r>
          <m:t>n</m:t>
        </m:r>
        <m:r>
          <m:t>e</m:t>
        </m:r>
        <m:r>
          <m:t>n</m:t>
        </m:r>
        <m:r>
          <m:t>c</m:t>
        </m:r>
        <m:r>
          <m:t>u</m:t>
        </m:r>
        <m:r>
          <m:t>m</m:t>
        </m:r>
        <m:r>
          <m:t>b</m:t>
        </m:r>
        <m:r>
          <m:t>e</m:t>
        </m:r>
        <m:r>
          <m:t>r</m:t>
        </m:r>
        <m:r>
          <m:t>e</m:t>
        </m:r>
        <m:r>
          <m:t>d</m:t>
        </m:r>
        <m:r>
          <m:t>a</m:t>
        </m:r>
        <m:r>
          <m:t>i</m:t>
        </m:r>
        <m:r>
          <m:t>r</m:t>
        </m:r>
        <m:r>
          <m:t>c</m:t>
        </m:r>
        <m:r>
          <m:t>r</m:t>
        </m:r>
        <m:r>
          <m:t>a</m:t>
        </m:r>
        <m:r>
          <m:t>f</m:t>
        </m:r>
        <m:r>
          <m:t>t</m:t>
        </m:r>
        <m:r>
          <m:t>a</m:t>
        </m:r>
        <m:r>
          <m:t>n</m:t>
        </m:r>
        <m:r>
          <m:t>d</m:t>
        </m:r>
        <m:r>
          <m:t>r</m:t>
        </m:r>
        <m:r>
          <m:t>e</m:t>
        </m:r>
        <m:r>
          <m:t>l</m:t>
        </m:r>
        <m:r>
          <m:t>a</m:t>
        </m:r>
        <m:r>
          <m:t>t</m:t>
        </m:r>
        <m:r>
          <m:t>e</m:t>
        </m:r>
        <m:r>
          <m:t>d</m:t>
        </m:r>
        <m:r>
          <m:t>a</m:t>
        </m:r>
        <m:r>
          <m:t>s</m:t>
        </m:r>
        <m:r>
          <m:t>s</m:t>
        </m:r>
        <m:r>
          <m:t>e</m:t>
        </m:r>
        <m:r>
          <m:t>t</m:t>
        </m:r>
        <m:r>
          <m:t>s</m:t>
        </m:r>
        <m:r>
          <m:rPr>
            <m:sty m:val="p"/>
          </m:rPr>
          <m:t>.</m:t>
        </m:r>
        <m:r>
          <m:t>I</m:t>
        </m:r>
        <m:r>
          <m:t>t</m:t>
        </m:r>
        <m:r>
          <m:t>a</m:t>
        </m:r>
        <m:r>
          <m:t>l</m:t>
        </m:r>
        <m:r>
          <m:t>s</m:t>
        </m:r>
        <m:r>
          <m:t>o</m:t>
        </m:r>
        <m:r>
          <m:t>r</m:t>
        </m:r>
        <m:r>
          <m:t>e</m:t>
        </m:r>
        <m:r>
          <m:t>p</m:t>
        </m:r>
        <m:r>
          <m:t>u</m:t>
        </m:r>
        <m:r>
          <m:t>r</m:t>
        </m:r>
        <m:r>
          <m:t>c</m:t>
        </m:r>
        <m:r>
          <m:t>h</m:t>
        </m:r>
        <m:r>
          <m:t>a</m:t>
        </m:r>
        <m:r>
          <m:t>s</m:t>
        </m:r>
        <m:r>
          <m:t>e</m:t>
        </m:r>
        <m:r>
          <m:t>d</m:t>
        </m:r>
        <m:r>
          <m:rPr>
            <m:sty m:val="p"/>
          </m:rPr>
          <m:t>*</m:t>
        </m:r>
        <m:r>
          <m:rPr>
            <m:sty m:val="p"/>
          </m:rPr>
          <m:t>*</m:t>
        </m:r>
      </m:oMath>
      <w:r>
        <w:rPr>
          <w:b/>
          <w:bCs/>
        </w:rPr>
        <w:t xml:space="preserve">1.25 billion</w:t>
      </w:r>
      <w:r>
        <w:t xml:space="preserve"> </w:t>
      </w:r>
      <w:r>
        <w:t xml:space="preserve">of stock in 1Q, leaving</w:t>
      </w:r>
      <w:r>
        <w:t xml:space="preserve"> </w:t>
      </w:r>
      <w:r>
        <w:rPr>
          <w:b/>
          <w:bCs/>
        </w:rPr>
        <w:t xml:space="preserve">$450 million</w:t>
      </w:r>
      <w:r>
        <w:t xml:space="preserve"> </w:t>
      </w:r>
      <w:r>
        <w:t xml:space="preserve">under its authorization. The potential tension is clear: continued buybacks are attractive if cash generation remains strong, but elevated fuel, capital spending, and fleet investment argue for maintaining balance-sheet guardrails.</w:t>
      </w:r>
    </w:p>
    <w:bookmarkEnd w:id="14"/>
    <w:bookmarkEnd w:id="15"/>
    <w:bookmarkStart w:id="19" w:name="earnings-scenarios"/>
    <w:p>
      <w:pPr>
        <w:pStyle w:val="Heading2"/>
      </w:pPr>
      <w:r>
        <w:t xml:space="preserve">Earnings scenarios</w:t>
      </w:r>
    </w:p>
    <w:bookmarkStart w:id="16" w:name="bull-case"/>
    <w:p>
      <w:pPr>
        <w:pStyle w:val="Heading3"/>
      </w:pPr>
      <w:r>
        <w:t xml:space="preserve">Bull case</w:t>
      </w:r>
    </w:p>
    <w:p>
      <w:pPr>
        <w:pStyle w:val="Compact"/>
        <w:numPr>
          <w:ilvl w:val="0"/>
          <w:numId w:val="1006"/>
        </w:numPr>
      </w:pPr>
      <w:r>
        <w:t xml:space="preserve">RASM reaches or exceeds the top end of the +16.5%–18.5% guide.</w:t>
      </w:r>
    </w:p>
    <w:p>
      <w:pPr>
        <w:pStyle w:val="Compact"/>
        <w:numPr>
          <w:ilvl w:val="0"/>
          <w:numId w:val="1006"/>
        </w:numPr>
      </w:pPr>
      <w:r>
        <w:t xml:space="preserve">EPS lands near or above the $0.65 high end, with the beat driven by revenue and/or CASM-X—not simply fuel.</w:t>
      </w:r>
    </w:p>
    <w:p>
      <w:pPr>
        <w:pStyle w:val="Compact"/>
        <w:numPr>
          <w:ilvl w:val="0"/>
          <w:numId w:val="1006"/>
        </w:numPr>
      </w:pPr>
      <w:r>
        <w:t xml:space="preserve">Management reports continued strength in corporate demand, premium-seat attachment, and base-fare buy-up.</w:t>
      </w:r>
    </w:p>
    <w:p>
      <w:pPr>
        <w:pStyle w:val="Compact"/>
        <w:numPr>
          <w:ilvl w:val="0"/>
          <w:numId w:val="1006"/>
        </w:numPr>
      </w:pPr>
      <w:r>
        <w:t xml:space="preserve">The company reiterates that its full-year $4 adjusted EPS target remains achievable, with improving visibility into the second half.</w:t>
      </w:r>
    </w:p>
    <w:bookmarkEnd w:id="16"/>
    <w:bookmarkStart w:id="17" w:name="base-case"/>
    <w:p>
      <w:pPr>
        <w:pStyle w:val="Heading3"/>
      </w:pPr>
      <w:r>
        <w:t xml:space="preserve">Base case</w:t>
      </w:r>
    </w:p>
    <w:p>
      <w:pPr>
        <w:pStyle w:val="Compact"/>
        <w:numPr>
          <w:ilvl w:val="0"/>
          <w:numId w:val="1007"/>
        </w:numPr>
      </w:pPr>
      <w:r>
        <w:t xml:space="preserve">EPS falls around the midpoint of the</w:t>
      </w:r>
      <w:r>
        <w:t xml:space="preserve"> </w:t>
      </w:r>
      <m:oMath>
        <m:r>
          <m:t>0.35</m:t>
        </m:r>
        <m:r>
          <m:rPr>
            <m:sty m:val="p"/>
          </m:rPr>
          <m:t>–</m:t>
        </m:r>
      </m:oMath>
      <w:r>
        <w:t xml:space="preserve">0.65 range.</w:t>
      </w:r>
    </w:p>
    <w:p>
      <w:pPr>
        <w:pStyle w:val="Compact"/>
        <w:numPr>
          <w:ilvl w:val="0"/>
          <w:numId w:val="1007"/>
        </w:numPr>
      </w:pPr>
      <w:r>
        <w:t xml:space="preserve">RASM and CASM-X are in range; fuel remains the primary drag.</w:t>
      </w:r>
    </w:p>
    <w:p>
      <w:pPr>
        <w:pStyle w:val="Compact"/>
        <w:numPr>
          <w:ilvl w:val="0"/>
          <w:numId w:val="1007"/>
        </w:numPr>
      </w:pPr>
      <w:r>
        <w:t xml:space="preserve">Management reiterates strong initiative execution but remains noncommittal on full-year EPS because of fuel volatility.</w:t>
      </w:r>
    </w:p>
    <w:p>
      <w:pPr>
        <w:pStyle w:val="Compact"/>
        <w:numPr>
          <w:ilvl w:val="0"/>
          <w:numId w:val="1007"/>
        </w:numPr>
      </w:pPr>
      <w:r>
        <w:t xml:space="preserve">The stock reaction is likely to hinge on 3Q RASM and fuel commentary rather than the reported quarter itself.</w:t>
      </w:r>
    </w:p>
    <w:bookmarkEnd w:id="17"/>
    <w:bookmarkStart w:id="18" w:name="bear-case"/>
    <w:p>
      <w:pPr>
        <w:pStyle w:val="Heading3"/>
      </w:pPr>
      <w:r>
        <w:t xml:space="preserve">Bear case</w:t>
      </w:r>
    </w:p>
    <w:p>
      <w:pPr>
        <w:pStyle w:val="Compact"/>
        <w:numPr>
          <w:ilvl w:val="0"/>
          <w:numId w:val="1008"/>
        </w:numPr>
      </w:pPr>
      <w:r>
        <w:t xml:space="preserve">RASM misses guidance, suggesting price elasticity, weaker close-in demand, or less incremental benefit from the new products.</w:t>
      </w:r>
    </w:p>
    <w:p>
      <w:pPr>
        <w:pStyle w:val="Compact"/>
        <w:numPr>
          <w:ilvl w:val="0"/>
          <w:numId w:val="1008"/>
        </w:numPr>
      </w:pPr>
      <w:r>
        <w:t xml:space="preserve">CASM-X exceeds guidance as low capacity growth and product changes pressure unit costs.</w:t>
      </w:r>
    </w:p>
    <w:p>
      <w:pPr>
        <w:pStyle w:val="Compact"/>
        <w:numPr>
          <w:ilvl w:val="0"/>
          <w:numId w:val="1008"/>
        </w:numPr>
      </w:pPr>
      <w:r>
        <w:t xml:space="preserve">Management lowers confidence in—or removes—the $4 full-year EPS objective.</w:t>
      </w:r>
    </w:p>
    <w:p>
      <w:pPr>
        <w:pStyle w:val="Compact"/>
        <w:numPr>
          <w:ilvl w:val="0"/>
          <w:numId w:val="1008"/>
        </w:numPr>
      </w:pPr>
      <w:r>
        <w:t xml:space="preserve">A weak report would challenge the thesis that Southwest’s transformation has permanently improved its earnings power.</w:t>
      </w:r>
    </w:p>
    <w:bookmarkEnd w:id="18"/>
    <w:bookmarkEnd w:id="19"/>
    <w:bookmarkStart w:id="20" w:name="stock-setup"/>
    <w:p>
      <w:pPr>
        <w:pStyle w:val="Heading2"/>
      </w:pPr>
      <w:r>
        <w:t xml:space="preserve">Stock setup</w:t>
      </w:r>
    </w:p>
    <w:p>
      <w:pPr>
        <w:pStyle w:val="FirstParagraph"/>
      </w:pPr>
      <w:r>
        <w:t xml:space="preserve">LUV closed at approximately</w:t>
      </w:r>
      <w:r>
        <w:t xml:space="preserve"> </w:t>
      </w:r>
      <w:r>
        <w:rPr>
          <w:b/>
          <w:bCs/>
        </w:rPr>
        <w:t xml:space="preserve">$48.70 on July 21</w:t>
      </w:r>
      <w:r>
        <w:t xml:space="preserve">, up about</w:t>
      </w:r>
      <w:r>
        <w:t xml:space="preserve"> </w:t>
      </w:r>
      <w:r>
        <w:rPr>
          <w:b/>
          <w:bCs/>
        </w:rPr>
        <w:t xml:space="preserve">29%</w:t>
      </w:r>
      <w:r>
        <w:t xml:space="preserve"> </w:t>
      </w:r>
      <w:r>
        <w:t xml:space="preserve">since the day after its 1Q26 earnings release, though about</w:t>
      </w:r>
      <w:r>
        <w:t xml:space="preserve"> </w:t>
      </w:r>
      <w:r>
        <w:rPr>
          <w:b/>
          <w:bCs/>
        </w:rPr>
        <w:t xml:space="preserve">6.5% below</w:t>
      </w:r>
      <w:r>
        <w:t xml:space="preserve"> </w:t>
      </w:r>
      <w:r>
        <w:t xml:space="preserve">its June 25 closing high of $52.09. That suggests investors have already assigned meaningful value to the turnaround and improved domestic-airline pricing environment.</w:t>
      </w:r>
    </w:p>
    <w:p>
      <w:pPr>
        <w:pStyle w:val="BodyText"/>
      </w:pPr>
      <w:r>
        <w:t xml:space="preserve">As a result, the bar is likely higher than simply reporting an in-range quarter. Investors will want confirmation that:</w:t>
      </w:r>
    </w:p>
    <w:p>
      <w:pPr>
        <w:pStyle w:val="Compact"/>
        <w:numPr>
          <w:ilvl w:val="0"/>
          <w:numId w:val="1009"/>
        </w:numPr>
      </w:pPr>
      <w:r>
        <w:rPr>
          <w:b/>
          <w:bCs/>
        </w:rPr>
        <w:t xml:space="preserve">New product monetization is durable;</w:t>
      </w:r>
    </w:p>
    <w:p>
      <w:pPr>
        <w:pStyle w:val="Compact"/>
        <w:numPr>
          <w:ilvl w:val="0"/>
          <w:numId w:val="1009"/>
        </w:numPr>
      </w:pPr>
      <w:r>
        <w:rPr>
          <w:b/>
          <w:bCs/>
        </w:rPr>
        <w:t xml:space="preserve">Revenue gains are not solely fuel-driven fare inflation;</w:t>
      </w:r>
    </w:p>
    <w:p>
      <w:pPr>
        <w:pStyle w:val="Compact"/>
        <w:numPr>
          <w:ilvl w:val="0"/>
          <w:numId w:val="1009"/>
        </w:numPr>
      </w:pPr>
      <w:r>
        <w:rPr>
          <w:b/>
          <w:bCs/>
        </w:rPr>
        <w:t xml:space="preserve">Cost discipline holds as the model becomes more complex;</w:t>
      </w:r>
      <w:r>
        <w:t xml:space="preserve"> </w:t>
      </w:r>
      <w:r>
        <w:t xml:space="preserve">and</w:t>
      </w:r>
    </w:p>
    <w:p>
      <w:pPr>
        <w:pStyle w:val="Compact"/>
        <w:numPr>
          <w:ilvl w:val="0"/>
          <w:numId w:val="1009"/>
        </w:numPr>
      </w:pPr>
      <w:r>
        <w:rPr>
          <w:b/>
          <w:bCs/>
        </w:rPr>
        <w:t xml:space="preserve">The 2026 earnings-power narrative remains intact despite fuel volatility.</w:t>
      </w:r>
    </w:p>
    <w:bookmarkEnd w:id="20"/>
    <w:bookmarkStart w:id="22" w:name="bottom-line"/>
    <w:p>
      <w:pPr>
        <w:pStyle w:val="Heading2"/>
      </w:pPr>
      <w:r>
        <w:t xml:space="preserve">Bottom line</w:t>
      </w:r>
    </w:p>
    <w:p>
      <w:pPr>
        <w:pStyle w:val="FirstParagraph"/>
      </w:pPr>
      <w:r>
        <w:t xml:space="preserve">This is primarily a</w:t>
      </w:r>
      <w:r>
        <w:t xml:space="preserve"> </w:t>
      </w:r>
      <w:r>
        <w:rPr>
          <w:b/>
          <w:bCs/>
        </w:rPr>
        <w:t xml:space="preserve">quality-of-earnings and trajectory</w:t>
      </w:r>
      <w:r>
        <w:t xml:space="preserve"> </w:t>
      </w:r>
      <w:r>
        <w:t xml:space="preserve">report. The quarter should show a dramatic year-over-year improvement in revenue and margin versus 2Q25, when Southwest earned $0.43 on an adjusted basis and struggled with weak unit revenue. But the decisive issue is whether the company can demonstrate that its new commercial model is producing enough recurring RASM and margin lift to offset a far less favorable fuel backdrop.</w:t>
      </w:r>
    </w:p>
    <w:p>
      <w:pPr>
        <w:pStyle w:val="BodyText"/>
      </w:pPr>
      <w:r>
        <w:t xml:space="preserve">A strong report would pair an upper-half EPS result with evidence that buy-up, corporate demand, premium seating, and ancillary revenue are still improving. A merely in-line result with cautious full-year commentary could disappoint, because the stock’s recovery implies that investors are increasingly expecting the transformation to work.</w:t>
      </w:r>
    </w:p>
    <w:bookmarkStart w:id="21" w:name="primary-materials-reviewed"/>
    <w:p>
      <w:pPr>
        <w:pStyle w:val="Heading3"/>
      </w:pPr>
      <w:r>
        <w:t xml:space="preserve">Primary materials reviewed</w:t>
      </w:r>
    </w:p>
    <w:p>
      <w:pPr>
        <w:pStyle w:val="Compact"/>
        <w:numPr>
          <w:ilvl w:val="0"/>
          <w:numId w:val="1010"/>
        </w:numPr>
      </w:pPr>
      <w:r>
        <w:t xml:space="preserve">Southwest Airlines 1Q26 earnings release and earnings-call transcript, April 22–23, 2026.</w:t>
      </w:r>
    </w:p>
    <w:p>
      <w:pPr>
        <w:pStyle w:val="Compact"/>
        <w:numPr>
          <w:ilvl w:val="0"/>
          <w:numId w:val="1010"/>
        </w:numPr>
      </w:pPr>
      <w:r>
        <w:t xml:space="preserve">Southwest Airlines 2Q25 earnings release, July 23, 2025.</w:t>
      </w:r>
    </w:p>
    <w:p>
      <w:pPr>
        <w:pStyle w:val="Compact"/>
        <w:numPr>
          <w:ilvl w:val="0"/>
          <w:numId w:val="1010"/>
        </w:numPr>
      </w:pPr>
      <w:r>
        <w:t xml:space="preserve">Historical LUV and peer closing-price data through July 21, 2026.</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2026-07-22T00:58:22Z</dcterms:created>
  <dcterms:modified xsi:type="dcterms:W3CDTF">2026-07-22T00:58:22Z</dcterms:modified>
</cp:coreProperties>
</file>

<file path=docProps/custom.xml><?xml version="1.0" encoding="utf-8"?>
<Properties xmlns="http://schemas.openxmlformats.org/officeDocument/2006/custom-properties" xmlns:vt="http://schemas.openxmlformats.org/officeDocument/2006/docPropsVTypes"/>
</file>