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Southwest Airlines (LUV)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Southwest Airlines Co.</w:t>
            </w:r>
          </w:p>
        </w:tc>
      </w:tr>
      <w:tr>
        <w:tc>
          <w:tcPr>
            <w:tcW w:type="dxa" w:w="4320"/>
          </w:tcPr>
          <w:p>
            <w:r>
              <w:rPr>
                <w:rFonts w:ascii="Calibri" w:hAnsi="Calibri"/>
                <w:b/>
                <w:sz w:val="22"/>
              </w:rPr>
              <w:t>Ticker</w:t>
            </w:r>
          </w:p>
        </w:tc>
        <w:tc>
          <w:tcPr>
            <w:tcW w:type="dxa" w:w="4320"/>
          </w:tcPr>
          <w:p>
            <w:r>
              <w:rPr>
                <w:rFonts w:ascii="Calibri" w:hAnsi="Calibri"/>
                <w:sz w:val="22"/>
              </w:rPr>
              <w:t>LUV (NYSE)</w:t>
            </w:r>
          </w:p>
        </w:tc>
      </w:tr>
      <w:tr>
        <w:tc>
          <w:tcPr>
            <w:tcW w:type="dxa" w:w="4320"/>
          </w:tcPr>
          <w:p>
            <w:r>
              <w:rPr>
                <w:rFonts w:ascii="Calibri" w:hAnsi="Calibri"/>
                <w:b/>
                <w:sz w:val="22"/>
              </w:rPr>
              <w:t>Upcoming Earnings Date</w:t>
            </w:r>
          </w:p>
        </w:tc>
        <w:tc>
          <w:tcPr>
            <w:tcW w:type="dxa" w:w="4320"/>
          </w:tcPr>
          <w:p>
            <w:r>
              <w:rPr>
                <w:rFonts w:ascii="Calibri" w:hAnsi="Calibri"/>
                <w:sz w:val="22"/>
              </w:rPr>
              <w:t>July 23,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21, 2026</w:t>
            </w:r>
          </w:p>
        </w:tc>
      </w:tr>
      <w:tr>
        <w:tc>
          <w:tcPr>
            <w:tcW w:type="dxa" w:w="4320"/>
          </w:tcPr>
          <w:p>
            <w:r>
              <w:rPr>
                <w:rFonts w:ascii="Calibri" w:hAnsi="Calibri"/>
                <w:b/>
                <w:sz w:val="22"/>
              </w:rPr>
              <w:t>Last Earnings</w:t>
            </w:r>
          </w:p>
        </w:tc>
        <w:tc>
          <w:tcPr>
            <w:tcW w:type="dxa" w:w="4320"/>
          </w:tcPr>
          <w:p>
            <w:r>
              <w:rPr>
                <w:rFonts w:ascii="Calibri" w:hAnsi="Calibri"/>
                <w:sz w:val="22"/>
              </w:rPr>
              <w:t>April 22–23,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constructive but not without risk — </w:t>
      </w:r>
      <w:r>
        <w:rPr>
          <w:rFonts w:ascii="Calibri" w:hAnsi="Calibri"/>
          <w:b/>
          <w:color w:val="525866"/>
          <w:sz w:val="22"/>
        </w:rPr>
        <w:t>RASM is the clear beat driver</w:t>
      </w:r>
      <w:r>
        <w:rPr>
          <w:rFonts w:ascii="Calibri" w:hAnsi="Calibri"/>
          <w:color w:val="525866"/>
          <w:sz w:val="22"/>
        </w:rPr>
        <w:t xml:space="preserve"> (consensus at +~16.5–18.5% YoY, in line with guidance), while </w:t>
      </w:r>
      <w:r>
        <w:rPr>
          <w:rFonts w:ascii="Calibri" w:hAnsi="Calibri"/>
          <w:b/>
          <w:color w:val="525866"/>
          <w:sz w:val="22"/>
        </w:rPr>
        <w:t>fuel remains the single biggest swing factor</w:t>
      </w:r>
      <w:r>
        <w:rPr>
          <w:rFonts w:ascii="Calibri" w:hAnsi="Calibri"/>
          <w:color w:val="525866"/>
          <w:sz w:val="22"/>
        </w:rPr>
        <w:t xml:space="preserve"> given the sharp spike since April and the wide EPS guidance range of $0.35–$0.65.</w:t>
      </w:r>
    </w:p>
    <w:p>
      <w:r>
        <w:rPr>
          <w:rFonts w:ascii="Calibri" w:hAnsi="Calibri"/>
          <w:color w:val="525866"/>
          <w:sz w:val="22"/>
        </w:rPr>
        <w:t xml:space="preserve">Heading into Q2 2026, Southwest's bar is set by management's own wide EPS guidance range of $0.35–$0.65 (consensus at ~$0.52), which was deliberately constructed using the April 16 forward fuel curve at $4.10–$4.15/gallon — a level that has since moved materially higher. The transformation story is clearly working: </w:t>
      </w:r>
      <w:r>
        <w:rPr>
          <w:rFonts w:ascii="Calibri" w:hAnsi="Calibri"/>
          <w:b/>
          <w:color w:val="525866"/>
          <w:sz w:val="22"/>
        </w:rPr>
        <w:t>RASM growth of 16.5–18.5% YoY is guided to be industry-leading by a wide margin</w:t>
      </w:r>
      <w:r>
        <w:rPr>
          <w:rFonts w:ascii="Calibri" w:hAnsi="Calibri"/>
          <w:color w:val="525866"/>
          <w:sz w:val="22"/>
        </w:rPr>
        <w:t xml:space="preserve">, and peer prints from Delta (+12.4%) and United (+12.1%) confirm the demand and yield environment is robust, with corporate travel up 25–30% across the industry. Management's tone since Q1 earnings has been increasingly confident on revenue — seven consecutive broad fare increases have stuck, buy-up rates from the base product surged to ~60%, and managed corporate revenue set records — but the posture on the full-year $4 EPS guide remains deliberately cautious, with management declining to raise or narrow it given fuel volatility. </w:t>
      </w:r>
      <w:r>
        <w:rPr>
          <w:rFonts w:ascii="Calibri" w:hAnsi="Calibri"/>
          <w:b/>
          <w:color w:val="525866"/>
          <w:sz w:val="22"/>
        </w:rPr>
        <w:t>Estimate revisions have moved higher since the Q1 print</w:t>
      </w:r>
      <w:r>
        <w:rPr>
          <w:rFonts w:ascii="Calibri" w:hAnsi="Calibri"/>
          <w:color w:val="525866"/>
          <w:sz w:val="22"/>
        </w:rPr>
        <w:t xml:space="preserve"> (Q2 EPS consensus up from $0.46 to $0.52 post-earnings), reflecting the strong RASM trajectory, but the fuel wildcard is real: ALK reported Q2 fuel at $4.43/gallon vs. $2.39 a year ago, and UAL noted fuel has risen 15–20% since early July alone. The stock has rallied ~24% since the Q1 print (vs. JETS +18%, SPY +5%), pricing in meaningful transformation progress, which means the multiple is no longer cheap and the stock needs a clean print to sustain momentum. </w:t>
      </w:r>
      <w:r>
        <w:rPr>
          <w:rFonts w:ascii="Calibri" w:hAnsi="Calibri"/>
          <w:b/>
          <w:color w:val="525866"/>
          <w:sz w:val="22"/>
        </w:rPr>
        <w:t>The wildcard is fuel: if jet fuel has moderated from the April spike, EPS could beat the midpoint meaningfully; if it has stayed elevated or risen further, the wide guidance range was warranted and the print could disappoint on the bottom line even with strong RASM.</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reflects a </w:t>
      </w:r>
      <w:r>
        <w:rPr>
          <w:rFonts w:ascii="Calibri" w:hAnsi="Calibri"/>
          <w:b/>
          <w:color w:val="525866"/>
          <w:sz w:val="22"/>
        </w:rPr>
        <w:t>moderate bar on EPS</w:t>
      </w:r>
      <w:r>
        <w:rPr>
          <w:rFonts w:ascii="Calibri" w:hAnsi="Calibri"/>
          <w:color w:val="525866"/>
          <w:sz w:val="22"/>
        </w:rPr>
        <w:t xml:space="preserve"> ($0.52 vs. guidance midpoint of $0.50) but a </w:t>
      </w:r>
      <w:r>
        <w:rPr>
          <w:rFonts w:ascii="Calibri" w:hAnsi="Calibri"/>
          <w:b/>
          <w:color w:val="525866"/>
          <w:sz w:val="22"/>
        </w:rPr>
        <w:t>high bar on RASM</w:t>
      </w:r>
      <w:r>
        <w:rPr>
          <w:rFonts w:ascii="Calibri" w:hAnsi="Calibri"/>
          <w:color w:val="525866"/>
          <w:sz w:val="22"/>
        </w:rPr>
        <w:t xml:space="preserve"> (guided 16.5–18.5% YoY growth, industry-leading by a wide margin per management). RASM is the bigger swing factor — a beat there can offset fuel pressure; a miss would be a serious negative signal for the transformation thesis.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 EPS (Diluted Operating)</w:t>
            </w:r>
          </w:p>
        </w:tc>
        <w:tc>
          <w:tcPr>
            <w:tcW w:type="dxa" w:w="1234"/>
          </w:tcPr>
          <w:p>
            <w:r>
              <w:rPr>
                <w:rFonts w:ascii="Calibri" w:hAnsi="Calibri"/>
                <w:sz w:val="22"/>
              </w:rPr>
              <w:t>$0.45</w:t>
            </w:r>
          </w:p>
        </w:tc>
        <w:tc>
          <w:tcPr>
            <w:tcW w:type="dxa" w:w="1234"/>
          </w:tcPr>
          <w:p>
            <w:r>
              <w:rPr>
                <w:rFonts w:ascii="Calibri" w:hAnsi="Calibri"/>
                <w:sz w:val="22"/>
              </w:rPr>
              <w:t>$0.43</w:t>
            </w:r>
          </w:p>
        </w:tc>
        <w:tc>
          <w:tcPr>
            <w:tcW w:type="dxa" w:w="1234"/>
          </w:tcPr>
          <w:p>
            <w:r>
              <w:rPr>
                <w:rFonts w:ascii="Calibri" w:hAnsi="Calibri"/>
                <w:sz w:val="22"/>
              </w:rPr>
              <w:t>$0.52</w:t>
            </w:r>
          </w:p>
        </w:tc>
        <w:tc>
          <w:tcPr>
            <w:tcW w:type="dxa" w:w="1234"/>
          </w:tcPr>
          <w:p>
            <w:r>
              <w:rPr>
                <w:rFonts w:ascii="Calibri" w:hAnsi="Calibri"/>
                <w:sz w:val="22"/>
              </w:rPr>
              <w:t>+20.9%</w:t>
            </w:r>
          </w:p>
        </w:tc>
        <w:tc>
          <w:tcPr>
            <w:tcW w:type="dxa" w:w="1234"/>
          </w:tcPr>
          <w:p>
            <w:r>
              <w:rPr>
                <w:rFonts w:ascii="Calibri" w:hAnsi="Calibri"/>
                <w:sz w:val="22"/>
              </w:rPr>
              <w:t>$0.35–$0.65 (mid: $0.50)</w:t>
            </w:r>
          </w:p>
        </w:tc>
        <w:tc>
          <w:tcPr>
            <w:tcW w:type="dxa" w:w="1234"/>
          </w:tcPr>
          <w:p>
            <w:r>
              <w:rPr>
                <w:rFonts w:ascii="Calibri" w:hAnsi="Calibri"/>
                <w:sz w:val="22"/>
              </w:rPr>
              <w:t>+3.9% above midpoint</w:t>
            </w:r>
          </w:p>
        </w:tc>
      </w:tr>
      <w:tr>
        <w:tc>
          <w:tcPr>
            <w:tcW w:type="dxa" w:w="1234"/>
          </w:tcPr>
          <w:p>
            <w:r>
              <w:rPr>
                <w:rFonts w:ascii="Calibri" w:hAnsi="Calibri"/>
                <w:sz w:val="22"/>
              </w:rPr>
              <w:t>Total Revenue</w:t>
            </w:r>
          </w:p>
        </w:tc>
        <w:tc>
          <w:tcPr>
            <w:tcW w:type="dxa" w:w="1234"/>
          </w:tcPr>
          <w:p>
            <w:r>
              <w:rPr>
                <w:rFonts w:ascii="Calibri" w:hAnsi="Calibri"/>
                <w:sz w:val="22"/>
              </w:rPr>
              <w:t>$7.249B</w:t>
            </w:r>
          </w:p>
        </w:tc>
        <w:tc>
          <w:tcPr>
            <w:tcW w:type="dxa" w:w="1234"/>
          </w:tcPr>
          <w:p>
            <w:r>
              <w:rPr>
                <w:rFonts w:ascii="Calibri" w:hAnsi="Calibri"/>
                <w:sz w:val="22"/>
              </w:rPr>
              <w:t>$7.244B</w:t>
            </w:r>
          </w:p>
        </w:tc>
        <w:tc>
          <w:tcPr>
            <w:tcW w:type="dxa" w:w="1234"/>
          </w:tcPr>
          <w:p>
            <w:r>
              <w:rPr>
                <w:rFonts w:ascii="Calibri" w:hAnsi="Calibri"/>
                <w:sz w:val="22"/>
              </w:rPr>
              <w:t>$8.569B</w:t>
            </w:r>
          </w:p>
        </w:tc>
        <w:tc>
          <w:tcPr>
            <w:tcW w:type="dxa" w:w="1234"/>
          </w:tcPr>
          <w:p>
            <w:r>
              <w:rPr>
                <w:rFonts w:ascii="Calibri" w:hAnsi="Calibri"/>
                <w:sz w:val="22"/>
              </w:rPr>
              <w:t>+18.3%</w:t>
            </w:r>
          </w:p>
        </w:tc>
        <w:tc>
          <w:tcPr>
            <w:tcW w:type="dxa" w:w="1234"/>
          </w:tcPr>
          <w:p>
            <w:r>
              <w:rPr>
                <w:rFonts w:ascii="Calibri" w:hAnsi="Calibri"/>
                <w:sz w:val="22"/>
              </w:rPr>
              <w:t>No explicit $ guide</w:t>
            </w:r>
          </w:p>
        </w:tc>
        <w:tc>
          <w:tcPr>
            <w:tcW w:type="dxa" w:w="1234"/>
          </w:tcPr>
          <w:p>
            <w:r>
              <w:rPr>
                <w:rFonts w:ascii="Calibri" w:hAnsi="Calibri"/>
                <w:sz w:val="22"/>
              </w:rPr>
              <w:t>N/A</w:t>
            </w:r>
          </w:p>
        </w:tc>
      </w:tr>
      <w:tr>
        <w:tc>
          <w:tcPr>
            <w:tcW w:type="dxa" w:w="1234"/>
          </w:tcPr>
          <w:p>
            <w:r>
              <w:rPr>
                <w:rFonts w:ascii="Calibri" w:hAnsi="Calibri"/>
                <w:sz w:val="22"/>
              </w:rPr>
              <w:t>RASM — Passenger Rev/ASM (Operating)</w:t>
            </w:r>
          </w:p>
        </w:tc>
        <w:tc>
          <w:tcPr>
            <w:tcW w:type="dxa" w:w="1234"/>
          </w:tcPr>
          <w:p>
            <w:r>
              <w:rPr>
                <w:rFonts w:ascii="Calibri" w:hAnsi="Calibri"/>
                <w:sz w:val="22"/>
              </w:rPr>
              <w:t>15.67¢</w:t>
            </w:r>
          </w:p>
        </w:tc>
        <w:tc>
          <w:tcPr>
            <w:tcW w:type="dxa" w:w="1234"/>
          </w:tcPr>
          <w:p>
            <w:r>
              <w:rPr>
                <w:rFonts w:ascii="Calibri" w:hAnsi="Calibri"/>
                <w:sz w:val="22"/>
              </w:rPr>
              <w:t>14.10¢</w:t>
            </w:r>
          </w:p>
        </w:tc>
        <w:tc>
          <w:tcPr>
            <w:tcW w:type="dxa" w:w="1234"/>
          </w:tcPr>
          <w:p>
            <w:r>
              <w:rPr>
                <w:rFonts w:ascii="Calibri" w:hAnsi="Calibri"/>
                <w:sz w:val="22"/>
              </w:rPr>
              <w:t>16.87¢</w:t>
            </w:r>
          </w:p>
        </w:tc>
        <w:tc>
          <w:tcPr>
            <w:tcW w:type="dxa" w:w="1234"/>
          </w:tcPr>
          <w:p>
            <w:r>
              <w:rPr>
                <w:rFonts w:ascii="Calibri" w:hAnsi="Calibri"/>
                <w:sz w:val="22"/>
              </w:rPr>
              <w:t>+19.6%</w:t>
            </w:r>
          </w:p>
        </w:tc>
        <w:tc>
          <w:tcPr>
            <w:tcW w:type="dxa" w:w="1234"/>
          </w:tcPr>
          <w:p>
            <w:r>
              <w:rPr>
                <w:rFonts w:ascii="Calibri" w:hAnsi="Calibri"/>
                <w:sz w:val="22"/>
              </w:rPr>
              <w:t>+16.5% to +18.5% YoY</w:t>
            </w:r>
          </w:p>
        </w:tc>
        <w:tc>
          <w:tcPr>
            <w:tcW w:type="dxa" w:w="1234"/>
          </w:tcPr>
          <w:p>
            <w:r>
              <w:rPr>
                <w:rFonts w:ascii="Calibri" w:hAnsi="Calibri"/>
                <w:sz w:val="22"/>
              </w:rPr>
              <w:t>~+1–2 pts above guidance midpoint</w:t>
            </w:r>
          </w:p>
        </w:tc>
      </w:tr>
      <w:tr>
        <w:tc>
          <w:tcPr>
            <w:tcW w:type="dxa" w:w="1234"/>
          </w:tcPr>
          <w:p>
            <w:r>
              <w:rPr>
                <w:rFonts w:ascii="Calibri" w:hAnsi="Calibri"/>
                <w:sz w:val="22"/>
              </w:rPr>
              <w:t>Total RASM (Operating)</w:t>
            </w:r>
          </w:p>
        </w:tc>
        <w:tc>
          <w:tcPr>
            <w:tcW w:type="dxa" w:w="1234"/>
          </w:tcPr>
          <w:p>
            <w:r>
              <w:rPr>
                <w:rFonts w:ascii="Calibri" w:hAnsi="Calibri"/>
                <w:sz w:val="22"/>
              </w:rPr>
              <w:t>17.24¢</w:t>
            </w:r>
          </w:p>
        </w:tc>
        <w:tc>
          <w:tcPr>
            <w:tcW w:type="dxa" w:w="1234"/>
          </w:tcPr>
          <w:p>
            <w:r>
              <w:rPr>
                <w:rFonts w:ascii="Calibri" w:hAnsi="Calibri"/>
                <w:sz w:val="22"/>
              </w:rPr>
              <w:t>15.41¢</w:t>
            </w:r>
          </w:p>
        </w:tc>
        <w:tc>
          <w:tcPr>
            <w:tcW w:type="dxa" w:w="1234"/>
          </w:tcPr>
          <w:p>
            <w:r>
              <w:rPr>
                <w:rFonts w:ascii="Calibri" w:hAnsi="Calibri"/>
                <w:sz w:val="22"/>
              </w:rPr>
              <w:t>18.27¢</w:t>
            </w:r>
          </w:p>
        </w:tc>
        <w:tc>
          <w:tcPr>
            <w:tcW w:type="dxa" w:w="1234"/>
          </w:tcPr>
          <w:p>
            <w:r>
              <w:rPr>
                <w:rFonts w:ascii="Calibri" w:hAnsi="Calibri"/>
                <w:sz w:val="22"/>
              </w:rPr>
              <w:t>+18.6%</w:t>
            </w:r>
          </w:p>
        </w:tc>
        <w:tc>
          <w:tcPr>
            <w:tcW w:type="dxa" w:w="1234"/>
          </w:tcPr>
          <w:p>
            <w:r>
              <w:rPr>
                <w:rFonts w:ascii="Calibri" w:hAnsi="Calibri"/>
                <w:sz w:val="22"/>
              </w:rPr>
              <w:t>No explicit total RASM guide</w:t>
            </w:r>
          </w:p>
        </w:tc>
        <w:tc>
          <w:tcPr>
            <w:tcW w:type="dxa" w:w="1234"/>
          </w:tcPr>
          <w:p>
            <w:r>
              <w:rPr>
                <w:rFonts w:ascii="Calibri" w:hAnsi="Calibri"/>
                <w:sz w:val="22"/>
              </w:rPr>
              <w:t>N/A</w:t>
            </w:r>
          </w:p>
        </w:tc>
      </w:tr>
      <w:tr>
        <w:tc>
          <w:tcPr>
            <w:tcW w:type="dxa" w:w="1234"/>
          </w:tcPr>
          <w:p>
            <w:r>
              <w:rPr>
                <w:rFonts w:ascii="Calibri" w:hAnsi="Calibri"/>
                <w:sz w:val="22"/>
              </w:rPr>
              <w:t>CASM-X (Excl. Fuel &amp; Profit Sharing / ASM)</w:t>
            </w:r>
          </w:p>
        </w:tc>
        <w:tc>
          <w:tcPr>
            <w:tcW w:type="dxa" w:w="1234"/>
          </w:tcPr>
          <w:p>
            <w:r>
              <w:rPr>
                <w:rFonts w:ascii="Calibri" w:hAnsi="Calibri"/>
                <w:sz w:val="22"/>
              </w:rPr>
              <w:t>13.11¢</w:t>
            </w:r>
          </w:p>
        </w:tc>
        <w:tc>
          <w:tcPr>
            <w:tcW w:type="dxa" w:w="1234"/>
          </w:tcPr>
          <w:p>
            <w:r>
              <w:rPr>
                <w:rFonts w:ascii="Calibri" w:hAnsi="Calibri"/>
                <w:sz w:val="22"/>
              </w:rPr>
              <w:t>12.04¢</w:t>
            </w:r>
          </w:p>
        </w:tc>
        <w:tc>
          <w:tcPr>
            <w:tcW w:type="dxa" w:w="1234"/>
          </w:tcPr>
          <w:p>
            <w:r>
              <w:rPr>
                <w:rFonts w:ascii="Calibri" w:hAnsi="Calibri"/>
                <w:sz w:val="22"/>
              </w:rPr>
              <w:t>12.50¢</w:t>
            </w:r>
          </w:p>
        </w:tc>
        <w:tc>
          <w:tcPr>
            <w:tcW w:type="dxa" w:w="1234"/>
          </w:tcPr>
          <w:p>
            <w:r>
              <w:rPr>
                <w:rFonts w:ascii="Calibri" w:hAnsi="Calibri"/>
                <w:sz w:val="22"/>
              </w:rPr>
              <w:t>+3.8%</w:t>
            </w:r>
          </w:p>
        </w:tc>
        <w:tc>
          <w:tcPr>
            <w:tcW w:type="dxa" w:w="1234"/>
          </w:tcPr>
          <w:p>
            <w:r>
              <w:rPr>
                <w:rFonts w:ascii="Calibri" w:hAnsi="Calibri"/>
                <w:sz w:val="22"/>
              </w:rPr>
              <w:t>+3.5% to +4.0% YoY</w:t>
            </w:r>
          </w:p>
        </w:tc>
        <w:tc>
          <w:tcPr>
            <w:tcW w:type="dxa" w:w="1234"/>
          </w:tcPr>
          <w:p>
            <w:r>
              <w:rPr>
                <w:rFonts w:ascii="Calibri" w:hAnsi="Calibri"/>
                <w:sz w:val="22"/>
              </w:rPr>
              <w:t>~In line with guidance midpoint</w:t>
            </w:r>
          </w:p>
        </w:tc>
      </w:tr>
      <w:tr>
        <w:tc>
          <w:tcPr>
            <w:tcW w:type="dxa" w:w="1234"/>
          </w:tcPr>
          <w:p>
            <w:r>
              <w:rPr>
                <w:rFonts w:ascii="Calibri" w:hAnsi="Calibri"/>
                <w:sz w:val="22"/>
              </w:rPr>
              <w:t>Fuel Price/Gallon (Economic, Operating)</w:t>
            </w:r>
          </w:p>
        </w:tc>
        <w:tc>
          <w:tcPr>
            <w:tcW w:type="dxa" w:w="1234"/>
          </w:tcPr>
          <w:p>
            <w:r>
              <w:rPr>
                <w:rFonts w:ascii="Calibri" w:hAnsi="Calibri"/>
                <w:sz w:val="22"/>
              </w:rPr>
              <w:t>$2.73</w:t>
            </w:r>
          </w:p>
        </w:tc>
        <w:tc>
          <w:tcPr>
            <w:tcW w:type="dxa" w:w="1234"/>
          </w:tcPr>
          <w:p>
            <w:r>
              <w:rPr>
                <w:rFonts w:ascii="Calibri" w:hAnsi="Calibri"/>
                <w:sz w:val="22"/>
              </w:rPr>
              <w:t>$2.32</w:t>
            </w:r>
          </w:p>
        </w:tc>
        <w:tc>
          <w:tcPr>
            <w:tcW w:type="dxa" w:w="1234"/>
          </w:tcPr>
          <w:p>
            <w:r>
              <w:rPr>
                <w:rFonts w:ascii="Calibri" w:hAnsi="Calibri"/>
                <w:sz w:val="22"/>
              </w:rPr>
              <w:t>$4.12</w:t>
            </w:r>
          </w:p>
        </w:tc>
        <w:tc>
          <w:tcPr>
            <w:tcW w:type="dxa" w:w="1234"/>
          </w:tcPr>
          <w:p>
            <w:r>
              <w:rPr>
                <w:rFonts w:ascii="Calibri" w:hAnsi="Calibri"/>
                <w:sz w:val="22"/>
              </w:rPr>
              <w:t>+77.6%</w:t>
            </w:r>
          </w:p>
        </w:tc>
        <w:tc>
          <w:tcPr>
            <w:tcW w:type="dxa" w:w="1234"/>
          </w:tcPr>
          <w:p>
            <w:r>
              <w:rPr>
                <w:rFonts w:ascii="Calibri" w:hAnsi="Calibri"/>
                <w:sz w:val="22"/>
              </w:rPr>
              <w:t>$4.10–$4.15 (as of Apr 16 fwd curve)</w:t>
            </w:r>
          </w:p>
        </w:tc>
        <w:tc>
          <w:tcPr>
            <w:tcW w:type="dxa" w:w="1234"/>
          </w:tcPr>
          <w:p>
            <w:r>
              <w:rPr>
                <w:rFonts w:ascii="Calibri" w:hAnsi="Calibri"/>
                <w:sz w:val="22"/>
              </w:rPr>
              <w:t>~In line with guidance</w:t>
            </w:r>
          </w:p>
        </w:tc>
      </w:tr>
      <w:tr>
        <w:tc>
          <w:tcPr>
            <w:tcW w:type="dxa" w:w="1234"/>
          </w:tcPr>
          <w:p>
            <w:r>
              <w:rPr>
                <w:rFonts w:ascii="Calibri" w:hAnsi="Calibri"/>
                <w:sz w:val="22"/>
              </w:rPr>
              <w:t>Available Seat Miles (ASMs)</w:t>
            </w:r>
          </w:p>
        </w:tc>
        <w:tc>
          <w:tcPr>
            <w:tcW w:type="dxa" w:w="1234"/>
          </w:tcPr>
          <w:p>
            <w:r>
              <w:rPr>
                <w:rFonts w:ascii="Calibri" w:hAnsi="Calibri"/>
                <w:sz w:val="22"/>
              </w:rPr>
              <w:t>42.05B</w:t>
            </w:r>
          </w:p>
        </w:tc>
        <w:tc>
          <w:tcPr>
            <w:tcW w:type="dxa" w:w="1234"/>
          </w:tcPr>
          <w:p>
            <w:r>
              <w:rPr>
                <w:rFonts w:ascii="Calibri" w:hAnsi="Calibri"/>
                <w:sz w:val="22"/>
              </w:rPr>
              <w:t>47.00B</w:t>
            </w:r>
          </w:p>
        </w:tc>
        <w:tc>
          <w:tcPr>
            <w:tcW w:type="dxa" w:w="1234"/>
          </w:tcPr>
          <w:p>
            <w:r>
              <w:rPr>
                <w:rFonts w:ascii="Calibri" w:hAnsi="Calibri"/>
                <w:sz w:val="22"/>
              </w:rPr>
              <w:t>47.10B</w:t>
            </w:r>
          </w:p>
        </w:tc>
        <w:tc>
          <w:tcPr>
            <w:tcW w:type="dxa" w:w="1234"/>
          </w:tcPr>
          <w:p>
            <w:r>
              <w:rPr>
                <w:rFonts w:ascii="Calibri" w:hAnsi="Calibri"/>
                <w:sz w:val="22"/>
              </w:rPr>
              <w:t>+0.2%</w:t>
            </w:r>
          </w:p>
        </w:tc>
        <w:tc>
          <w:tcPr>
            <w:tcW w:type="dxa" w:w="1234"/>
          </w:tcPr>
          <w:p>
            <w:r>
              <w:rPr>
                <w:rFonts w:ascii="Calibri" w:hAnsi="Calibri"/>
                <w:sz w:val="22"/>
              </w:rPr>
              <w:t>+0.5% YoY (midpoint)</w:t>
            </w:r>
          </w:p>
        </w:tc>
        <w:tc>
          <w:tcPr>
            <w:tcW w:type="dxa" w:w="1234"/>
          </w:tcPr>
          <w:p>
            <w:r>
              <w:rPr>
                <w:rFonts w:ascii="Calibri" w:hAnsi="Calibri"/>
                <w:sz w:val="22"/>
              </w:rPr>
              <w:t>~In line with guidance</w:t>
            </w:r>
          </w:p>
        </w:tc>
      </w:tr>
      <w:tr>
        <w:tc>
          <w:tcPr>
            <w:tcW w:type="dxa" w:w="1234"/>
          </w:tcPr>
          <w:p>
            <w:r>
              <w:rPr>
                <w:rFonts w:ascii="Calibri" w:hAnsi="Calibri"/>
                <w:sz w:val="22"/>
              </w:rPr>
              <w:t>Load Factor</w:t>
            </w:r>
          </w:p>
        </w:tc>
        <w:tc>
          <w:tcPr>
            <w:tcW w:type="dxa" w:w="1234"/>
          </w:tcPr>
          <w:p>
            <w:r>
              <w:rPr>
                <w:rFonts w:ascii="Calibri" w:hAnsi="Calibri"/>
                <w:sz w:val="22"/>
              </w:rPr>
              <w:t>74.1%</w:t>
            </w:r>
          </w:p>
        </w:tc>
        <w:tc>
          <w:tcPr>
            <w:tcW w:type="dxa" w:w="1234"/>
          </w:tcPr>
          <w:p>
            <w:r>
              <w:rPr>
                <w:rFonts w:ascii="Calibri" w:hAnsi="Calibri"/>
                <w:sz w:val="22"/>
              </w:rPr>
              <w:t>78.5%</w:t>
            </w:r>
          </w:p>
        </w:tc>
        <w:tc>
          <w:tcPr>
            <w:tcW w:type="dxa" w:w="1234"/>
          </w:tcPr>
          <w:p>
            <w:r>
              <w:rPr>
                <w:rFonts w:ascii="Calibri" w:hAnsi="Calibri"/>
                <w:sz w:val="22"/>
              </w:rPr>
              <w:t>79.1%</w:t>
            </w:r>
          </w:p>
        </w:tc>
        <w:tc>
          <w:tcPr>
            <w:tcW w:type="dxa" w:w="1234"/>
          </w:tcPr>
          <w:p>
            <w:r>
              <w:rPr>
                <w:rFonts w:ascii="Calibri" w:hAnsi="Calibri"/>
                <w:sz w:val="22"/>
              </w:rPr>
              <w:t>+0.6 pts</w:t>
            </w:r>
          </w:p>
        </w:tc>
        <w:tc>
          <w:tcPr>
            <w:tcW w:type="dxa" w:w="1234"/>
          </w:tcPr>
          <w:p>
            <w:r>
              <w:rPr>
                <w:rFonts w:ascii="Calibri" w:hAnsi="Calibri"/>
                <w:sz w:val="22"/>
              </w:rPr>
              <w:t>No explicit guide</w:t>
            </w:r>
          </w:p>
        </w:tc>
        <w:tc>
          <w:tcPr>
            <w:tcW w:type="dxa" w:w="1234"/>
          </w:tcPr>
          <w:p>
            <w:r>
              <w:rPr>
                <w:rFonts w:ascii="Calibri" w:hAnsi="Calibri"/>
                <w:sz w:val="22"/>
              </w:rPr>
              <w:t>N/A</w:t>
            </w:r>
          </w:p>
        </w:tc>
      </w:tr>
      <w:tr>
        <w:tc>
          <w:tcPr>
            <w:tcW w:type="dxa" w:w="1234"/>
          </w:tcPr>
          <w:p>
            <w:r>
              <w:rPr>
                <w:rFonts w:ascii="Calibri" w:hAnsi="Calibri"/>
                <w:sz w:val="22"/>
              </w:rPr>
              <w:t>Operating Margin (Operating)</w:t>
            </w:r>
          </w:p>
        </w:tc>
        <w:tc>
          <w:tcPr>
            <w:tcW w:type="dxa" w:w="1234"/>
          </w:tcPr>
          <w:p>
            <w:r>
              <w:rPr>
                <w:rFonts w:ascii="Calibri" w:hAnsi="Calibri"/>
                <w:sz w:val="22"/>
              </w:rPr>
              <w:t>4.6%</w:t>
            </w:r>
          </w:p>
        </w:tc>
        <w:tc>
          <w:tcPr>
            <w:tcW w:type="dxa" w:w="1234"/>
          </w:tcPr>
          <w:p>
            <w:r>
              <w:rPr>
                <w:rFonts w:ascii="Calibri" w:hAnsi="Calibri"/>
                <w:sz w:val="22"/>
              </w:rPr>
              <w:t>3.4%</w:t>
            </w:r>
          </w:p>
        </w:tc>
        <w:tc>
          <w:tcPr>
            <w:tcW w:type="dxa" w:w="1234"/>
          </w:tcPr>
          <w:p>
            <w:r>
              <w:rPr>
                <w:rFonts w:ascii="Calibri" w:hAnsi="Calibri"/>
                <w:sz w:val="22"/>
              </w:rPr>
              <w:t>4.0%</w:t>
            </w:r>
          </w:p>
        </w:tc>
        <w:tc>
          <w:tcPr>
            <w:tcW w:type="dxa" w:w="1234"/>
          </w:tcPr>
          <w:p>
            <w:r>
              <w:rPr>
                <w:rFonts w:ascii="Calibri" w:hAnsi="Calibri"/>
                <w:sz w:val="22"/>
              </w:rPr>
              <w:t>+0.6 pts</w:t>
            </w:r>
          </w:p>
        </w:tc>
        <w:tc>
          <w:tcPr>
            <w:tcW w:type="dxa" w:w="1234"/>
          </w:tcPr>
          <w:p>
            <w:r>
              <w:rPr>
                <w:rFonts w:ascii="Calibri" w:hAnsi="Calibri"/>
                <w:sz w:val="22"/>
              </w:rPr>
              <w:t>Significant YoY expansion (no explicit %)</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guidance from Q1 2026 earnings call (April 22–23, 2026). Fuel guidance based on April 16, 2026 forward curve; actual fuel prices have moved materially since then.</w:t>
      </w:r>
    </w:p>
    <w:p>
      <w:pPr>
        <w:pStyle w:val="Heading3"/>
      </w:pPr>
      <w:r>
        <w:rPr>
          <w:rFonts w:ascii="Calibri" w:hAnsi="Calibri"/>
          <w:b/>
          <w:color w:val="3B4259"/>
          <w:sz w:val="24"/>
        </w:rPr>
        <w:t>Table 2 — Beat/Miss History (Last 8 Quarters, Top 2 KPIs: Adj. EPS &amp; RASM)</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$0.45</w:t>
            </w:r>
          </w:p>
        </w:tc>
        <w:tc>
          <w:tcPr>
            <w:tcW w:type="dxa" w:w="1440"/>
          </w:tcPr>
          <w:p>
            <w:r>
              <w:rPr>
                <w:rFonts w:ascii="Calibri" w:hAnsi="Calibri"/>
                <w:sz w:val="22"/>
              </w:rPr>
              <w:t>$0.47</w:t>
            </w:r>
          </w:p>
        </w:tc>
        <w:tc>
          <w:tcPr>
            <w:tcW w:type="dxa" w:w="1440"/>
          </w:tcPr>
          <w:p>
            <w:r>
              <w:rPr>
                <w:rFonts w:ascii="Calibri" w:hAnsi="Calibri"/>
                <w:sz w:val="22"/>
              </w:rPr>
              <w:t>−4.3%</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RASM (Pax/ASM)</w:t>
            </w:r>
          </w:p>
        </w:tc>
        <w:tc>
          <w:tcPr>
            <w:tcW w:type="dxa" w:w="1440"/>
          </w:tcPr>
          <w:p>
            <w:r>
              <w:rPr>
                <w:rFonts w:ascii="Calibri" w:hAnsi="Calibri"/>
                <w:sz w:val="22"/>
              </w:rPr>
              <w:t>15.67¢</w:t>
            </w:r>
          </w:p>
        </w:tc>
        <w:tc>
          <w:tcPr>
            <w:tcW w:type="dxa" w:w="1440"/>
          </w:tcPr>
          <w:p>
            <w:r>
              <w:rPr>
                <w:rFonts w:ascii="Calibri" w:hAnsi="Calibri"/>
                <w:sz w:val="22"/>
              </w:rPr>
              <w:t>15.81¢</w:t>
            </w:r>
          </w:p>
        </w:tc>
        <w:tc>
          <w:tcPr>
            <w:tcW w:type="dxa" w:w="1440"/>
          </w:tcPr>
          <w:p>
            <w:r>
              <w:rPr>
                <w:rFonts w:ascii="Calibri" w:hAnsi="Calibri"/>
                <w:sz w:val="22"/>
              </w:rPr>
              <w:t>−0.9%</w:t>
            </w:r>
          </w:p>
        </w:tc>
        <w:tc>
          <w:tcPr>
            <w:tcW w:type="dxa" w:w="1440"/>
          </w:tcPr>
          <w:p>
            <w:r>
              <w:rPr>
                <w:rFonts w:ascii="Calibri" w:hAnsi="Calibri"/>
                <w:b/>
                <w:color w:val="E5484D"/>
                <w:sz w:val="22"/>
              </w:rPr>
              <w:t>Miss (vs. cons.)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$0.58</w:t>
            </w:r>
          </w:p>
        </w:tc>
        <w:tc>
          <w:tcPr>
            <w:tcW w:type="dxa" w:w="1440"/>
          </w:tcPr>
          <w:p>
            <w:r>
              <w:rPr>
                <w:rFonts w:ascii="Calibri" w:hAnsi="Calibri"/>
                <w:sz w:val="22"/>
              </w:rPr>
              <w:t>$0.54</w:t>
            </w:r>
          </w:p>
        </w:tc>
        <w:tc>
          <w:tcPr>
            <w:tcW w:type="dxa" w:w="1440"/>
          </w:tcPr>
          <w:p>
            <w:r>
              <w:rPr>
                <w:rFonts w:ascii="Calibri" w:hAnsi="Calibri"/>
                <w:sz w:val="22"/>
              </w:rPr>
              <w:t>+7.4%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RASM (Pax/ASM)</w:t>
            </w:r>
          </w:p>
        </w:tc>
        <w:tc>
          <w:tcPr>
            <w:tcW w:type="dxa" w:w="1440"/>
          </w:tcPr>
          <w:p>
            <w:r>
              <w:rPr>
                <w:rFonts w:ascii="Calibri" w:hAnsi="Calibri"/>
                <w:sz w:val="22"/>
              </w:rPr>
              <w:t>14.73¢</w:t>
            </w:r>
          </w:p>
        </w:tc>
        <w:tc>
          <w:tcPr>
            <w:tcW w:type="dxa" w:w="1440"/>
          </w:tcPr>
          <w:p>
            <w:r>
              <w:rPr>
                <w:rFonts w:ascii="Calibri" w:hAnsi="Calibri"/>
                <w:sz w:val="22"/>
              </w:rPr>
              <w:t>14.79¢</w:t>
            </w:r>
          </w:p>
        </w:tc>
        <w:tc>
          <w:tcPr>
            <w:tcW w:type="dxa" w:w="1440"/>
          </w:tcPr>
          <w:p>
            <w:r>
              <w:rPr>
                <w:rFonts w:ascii="Calibri" w:hAnsi="Calibri"/>
                <w:sz w:val="22"/>
              </w:rPr>
              <w:t>−0.4%</w:t>
            </w:r>
          </w:p>
        </w:tc>
        <w:tc>
          <w:tcPr>
            <w:tcW w:type="dxa" w:w="1440"/>
          </w:tcPr>
          <w:p>
            <w:r>
              <w:rPr>
                <w:rFonts w:ascii="Calibri" w:hAnsi="Calibri"/>
                <w:b/>
                <w:color w:val="002FA7"/>
                <w:sz w:val="22"/>
              </w:rPr>
              <w:t>In Line</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$0.11</w:t>
            </w:r>
          </w:p>
        </w:tc>
        <w:tc>
          <w:tcPr>
            <w:tcW w:type="dxa" w:w="1440"/>
          </w:tcPr>
          <w:p>
            <w:r>
              <w:rPr>
                <w:rFonts w:ascii="Calibri" w:hAnsi="Calibri"/>
                <w:sz w:val="22"/>
              </w:rPr>
              <w:t>−0.02</w:t>
            </w:r>
          </w:p>
        </w:tc>
        <w:tc>
          <w:tcPr>
            <w:tcW w:type="dxa" w:w="1440"/>
          </w:tcPr>
          <w:p>
            <w:r>
              <w:rPr>
                <w:rFonts w:ascii="Calibri" w:hAnsi="Calibri"/>
                <w:sz w:val="22"/>
              </w:rPr>
              <w:t>N/M (beat loss est.)</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RASM (Pax/ASM)</w:t>
            </w:r>
          </w:p>
        </w:tc>
        <w:tc>
          <w:tcPr>
            <w:tcW w:type="dxa" w:w="1440"/>
          </w:tcPr>
          <w:p>
            <w:r>
              <w:rPr>
                <w:rFonts w:ascii="Calibri" w:hAnsi="Calibri"/>
                <w:sz w:val="22"/>
              </w:rPr>
              <w:t>13.85¢</w:t>
            </w:r>
          </w:p>
        </w:tc>
        <w:tc>
          <w:tcPr>
            <w:tcW w:type="dxa" w:w="1440"/>
          </w:tcPr>
          <w:p>
            <w:r>
              <w:rPr>
                <w:rFonts w:ascii="Calibri" w:hAnsi="Calibri"/>
                <w:sz w:val="22"/>
              </w:rPr>
              <w:t>13.81¢</w:t>
            </w:r>
          </w:p>
        </w:tc>
        <w:tc>
          <w:tcPr>
            <w:tcW w:type="dxa" w:w="1440"/>
          </w:tcPr>
          <w:p>
            <w:r>
              <w:rPr>
                <w:rFonts w:ascii="Calibri" w:hAnsi="Calibri"/>
                <w:sz w:val="22"/>
              </w:rPr>
              <w:t>+0.3%</w:t>
            </w:r>
          </w:p>
        </w:tc>
        <w:tc>
          <w:tcPr>
            <w:tcW w:type="dxa" w:w="1440"/>
          </w:tcPr>
          <w:p>
            <w:r>
              <w:rPr>
                <w:rFonts w:ascii="Calibri" w:hAnsi="Calibri"/>
                <w:b/>
                <w:color w:val="002FA7"/>
                <w:sz w:val="22"/>
              </w:rPr>
              <w:t>In Line</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$0.43</w:t>
            </w:r>
          </w:p>
        </w:tc>
        <w:tc>
          <w:tcPr>
            <w:tcW w:type="dxa" w:w="1440"/>
          </w:tcPr>
          <w:p>
            <w:r>
              <w:rPr>
                <w:rFonts w:ascii="Calibri" w:hAnsi="Calibri"/>
                <w:sz w:val="22"/>
              </w:rPr>
              <w:t>$0.51</w:t>
            </w:r>
          </w:p>
        </w:tc>
        <w:tc>
          <w:tcPr>
            <w:tcW w:type="dxa" w:w="1440"/>
          </w:tcPr>
          <w:p>
            <w:r>
              <w:rPr>
                <w:rFonts w:ascii="Calibri" w:hAnsi="Calibri"/>
                <w:sz w:val="22"/>
              </w:rPr>
              <w:t>−15.7%</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RASM (Pax/ASM)</w:t>
            </w:r>
          </w:p>
        </w:tc>
        <w:tc>
          <w:tcPr>
            <w:tcW w:type="dxa" w:w="1440"/>
          </w:tcPr>
          <w:p>
            <w:r>
              <w:rPr>
                <w:rFonts w:ascii="Calibri" w:hAnsi="Calibri"/>
                <w:sz w:val="22"/>
              </w:rPr>
              <w:t>14.10¢</w:t>
            </w:r>
          </w:p>
        </w:tc>
        <w:tc>
          <w:tcPr>
            <w:tcW w:type="dxa" w:w="1440"/>
          </w:tcPr>
          <w:p>
            <w:r>
              <w:rPr>
                <w:rFonts w:ascii="Calibri" w:hAnsi="Calibri"/>
                <w:sz w:val="22"/>
              </w:rPr>
              <w:t>14.10¢</w:t>
            </w:r>
          </w:p>
        </w:tc>
        <w:tc>
          <w:tcPr>
            <w:tcW w:type="dxa" w:w="1440"/>
          </w:tcPr>
          <w:p>
            <w:r>
              <w:rPr>
                <w:rFonts w:ascii="Calibri" w:hAnsi="Calibri"/>
                <w:sz w:val="22"/>
              </w:rPr>
              <w:t>0.0%</w:t>
            </w:r>
          </w:p>
        </w:tc>
        <w:tc>
          <w:tcPr>
            <w:tcW w:type="dxa" w:w="1440"/>
          </w:tcPr>
          <w:p>
            <w:r>
              <w:rPr>
                <w:rFonts w:ascii="Calibri" w:hAnsi="Calibri"/>
                <w:b/>
                <w:color w:val="002FA7"/>
                <w:sz w:val="22"/>
              </w:rPr>
              <w:t>In Line</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−0.13</w:t>
            </w:r>
          </w:p>
        </w:tc>
        <w:tc>
          <w:tcPr>
            <w:tcW w:type="dxa" w:w="1440"/>
          </w:tcPr>
          <w:p>
            <w:r>
              <w:rPr>
                <w:rFonts w:ascii="Calibri" w:hAnsi="Calibri"/>
                <w:sz w:val="22"/>
              </w:rPr>
              <w:t>−0.18</w:t>
            </w:r>
          </w:p>
        </w:tc>
        <w:tc>
          <w:tcPr>
            <w:tcW w:type="dxa" w:w="1440"/>
          </w:tcPr>
          <w:p>
            <w:r>
              <w:rPr>
                <w:rFonts w:ascii="Calibri" w:hAnsi="Calibri"/>
                <w:sz w:val="22"/>
              </w:rPr>
              <w:t>N/M (beat loss est.)</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RASM (Pax/ASM)</w:t>
            </w:r>
          </w:p>
        </w:tc>
        <w:tc>
          <w:tcPr>
            <w:tcW w:type="dxa" w:w="1440"/>
          </w:tcPr>
          <w:p>
            <w:r>
              <w:rPr>
                <w:rFonts w:ascii="Calibri" w:hAnsi="Calibri"/>
                <w:sz w:val="22"/>
              </w:rPr>
              <w:t>14.03¢</w:t>
            </w:r>
          </w:p>
        </w:tc>
        <w:tc>
          <w:tcPr>
            <w:tcW w:type="dxa" w:w="1440"/>
          </w:tcPr>
          <w:p>
            <w:r>
              <w:rPr>
                <w:rFonts w:ascii="Calibri" w:hAnsi="Calibri"/>
                <w:sz w:val="22"/>
              </w:rPr>
              <w:t>13.90¢</w:t>
            </w:r>
          </w:p>
        </w:tc>
        <w:tc>
          <w:tcPr>
            <w:tcW w:type="dxa" w:w="1440"/>
          </w:tcPr>
          <w:p>
            <w:r>
              <w:rPr>
                <w:rFonts w:ascii="Calibri" w:hAnsi="Calibri"/>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$0.56</w:t>
            </w:r>
          </w:p>
        </w:tc>
        <w:tc>
          <w:tcPr>
            <w:tcW w:type="dxa" w:w="1440"/>
          </w:tcPr>
          <w:p>
            <w:r>
              <w:rPr>
                <w:rFonts w:ascii="Calibri" w:hAnsi="Calibri"/>
                <w:sz w:val="22"/>
              </w:rPr>
              <w:t>$0.47</w:t>
            </w:r>
          </w:p>
        </w:tc>
        <w:tc>
          <w:tcPr>
            <w:tcW w:type="dxa" w:w="1440"/>
          </w:tcPr>
          <w:p>
            <w:r>
              <w:rPr>
                <w:rFonts w:ascii="Calibri" w:hAnsi="Calibri"/>
                <w:sz w:val="22"/>
              </w:rPr>
              <w:t>+19.1%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RASM (Pax/ASM)</w:t>
            </w:r>
          </w:p>
        </w:tc>
        <w:tc>
          <w:tcPr>
            <w:tcW w:type="dxa" w:w="1440"/>
          </w:tcPr>
          <w:p>
            <w:r>
              <w:rPr>
                <w:rFonts w:ascii="Calibri" w:hAnsi="Calibri"/>
                <w:sz w:val="22"/>
              </w:rPr>
              <w:t>14.75¢</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$0.15</w:t>
            </w:r>
          </w:p>
        </w:tc>
        <w:tc>
          <w:tcPr>
            <w:tcW w:type="dxa" w:w="1440"/>
          </w:tcPr>
          <w:p>
            <w:r>
              <w:rPr>
                <w:rFonts w:ascii="Calibri" w:hAnsi="Calibri"/>
                <w:sz w:val="22"/>
              </w:rPr>
              <w:t>$0.04</w:t>
            </w:r>
          </w:p>
        </w:tc>
        <w:tc>
          <w:tcPr>
            <w:tcW w:type="dxa" w:w="1440"/>
          </w:tcPr>
          <w:p>
            <w:r>
              <w:rPr>
                <w:rFonts w:ascii="Calibri" w:hAnsi="Calibri"/>
                <w:sz w:val="22"/>
              </w:rPr>
              <w:t>+275%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RASM (Pax/ASM)</w:t>
            </w:r>
          </w:p>
        </w:tc>
        <w:tc>
          <w:tcPr>
            <w:tcW w:type="dxa" w:w="1440"/>
          </w:tcPr>
          <w:p>
            <w:r>
              <w:rPr>
                <w:rFonts w:ascii="Calibri" w:hAnsi="Calibri"/>
                <w:sz w:val="22"/>
              </w:rPr>
              <w:t>13.82¢</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$0.58</w:t>
            </w:r>
          </w:p>
        </w:tc>
        <w:tc>
          <w:tcPr>
            <w:tcW w:type="dxa" w:w="1440"/>
          </w:tcPr>
          <w:p>
            <w:r>
              <w:rPr>
                <w:rFonts w:ascii="Calibri" w:hAnsi="Calibri"/>
                <w:sz w:val="22"/>
              </w:rPr>
              <w:t>$0.51</w:t>
            </w:r>
          </w:p>
        </w:tc>
        <w:tc>
          <w:tcPr>
            <w:tcW w:type="dxa" w:w="1440"/>
          </w:tcPr>
          <w:p>
            <w:r>
              <w:rPr>
                <w:rFonts w:ascii="Calibri" w:hAnsi="Calibri"/>
                <w:sz w:val="22"/>
              </w:rPr>
              <w:t>+13.7%</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RASM (Pax/ASM)</w:t>
            </w:r>
          </w:p>
        </w:tc>
        <w:tc>
          <w:tcPr>
            <w:tcW w:type="dxa" w:w="1440"/>
          </w:tcPr>
          <w:p>
            <w:r>
              <w:rPr>
                <w:rFonts w:ascii="Calibri" w:hAnsi="Calibri"/>
                <w:sz w:val="22"/>
              </w:rPr>
              <w:t>14.51¢</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LUV has beaten EPS consensus in 5 of the last 8 quarters, with the misses concentrated in Q2 2025 and Q1 2026 — both driven by fuel cost overruns rather than revenue weakness. RASM has consistently come in at or above consensus in recent quarters, reinforcing that the revenue transformation is tracking.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has grown </w:t>
      </w:r>
      <w:r>
        <w:rPr>
          <w:rFonts w:ascii="Calibri" w:hAnsi="Calibri"/>
          <w:b/>
          <w:color w:val="525866"/>
          <w:sz w:val="22"/>
        </w:rPr>
        <w:t>increasingly confident on revenue</w:t>
      </w:r>
      <w:r>
        <w:rPr>
          <w:rFonts w:ascii="Calibri" w:hAnsi="Calibri"/>
          <w:color w:val="525866"/>
          <w:sz w:val="22"/>
        </w:rPr>
        <w:t xml:space="preserve"> since the Q1 print — seven consecutive fare increases have stuck, buy-up rates are at ~60%, and corporate travel is at record levels — but the </w:t>
      </w:r>
      <w:r>
        <w:rPr>
          <w:rFonts w:ascii="Calibri" w:hAnsi="Calibri"/>
          <w:b/>
          <w:color w:val="525866"/>
          <w:sz w:val="22"/>
        </w:rPr>
        <w:t>full-year $4 EPS guide remains deliberately unmoved</w:t>
      </w:r>
      <w:r>
        <w:rPr>
          <w:rFonts w:ascii="Calibri" w:hAnsi="Calibri"/>
          <w:color w:val="525866"/>
          <w:sz w:val="22"/>
        </w:rPr>
        <w:t>, with management citing fuel volatility as the only material risk to achieving it.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22–23)</w:t>
            </w:r>
          </w:p>
        </w:tc>
        <w:tc>
          <w:tcPr>
            <w:tcW w:type="dxa" w:w="1728"/>
            <w:shd w:val="clear" w:color="auto" w:fill="3B4259"/>
          </w:tcPr>
          <w:p>
            <w:r>
              <w:rPr>
                <w:rFonts w:ascii="Calibri" w:hAnsi="Calibri"/>
                <w:b/>
                <w:color w:val="FFFFFF"/>
                <w:sz w:val="22"/>
              </w:rPr>
              <w:t>Revised Guidance (Post-Earnings)</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EPS (Adj.)</w:t>
            </w:r>
          </w:p>
        </w:tc>
        <w:tc>
          <w:tcPr>
            <w:tcW w:type="dxa" w:w="1728"/>
          </w:tcPr>
          <w:p>
            <w:r>
              <w:rPr>
                <w:rFonts w:ascii="Calibri" w:hAnsi="Calibri"/>
                <w:sz w:val="22"/>
              </w:rPr>
              <w:t>$0.35–$0.65 (mid: $0.50)</w:t>
            </w:r>
          </w:p>
        </w:tc>
        <w:tc>
          <w:tcPr>
            <w:tcW w:type="dxa" w:w="1728"/>
          </w:tcPr>
          <w:p>
            <w:r>
              <w:rPr>
                <w:rFonts w:ascii="Calibri" w:hAnsi="Calibri"/>
                <w:sz w:val="22"/>
              </w:rPr>
              <w:t>—</w:t>
            </w:r>
          </w:p>
        </w:tc>
        <w:tc>
          <w:tcPr>
            <w:tcW w:type="dxa" w:w="1728"/>
          </w:tcPr>
          <w:p>
            <w:r>
              <w:rPr>
                <w:rFonts w:ascii="Calibri" w:hAnsi="Calibri"/>
                <w:sz w:val="22"/>
              </w:rPr>
              <w:t>$0.52</w:t>
            </w:r>
          </w:p>
        </w:tc>
        <w:tc>
          <w:tcPr>
            <w:tcW w:type="dxa" w:w="1728"/>
          </w:tcPr>
          <w:p>
            <w:r>
              <w:rPr>
                <w:rFonts w:ascii="Calibri" w:hAnsi="Calibri"/>
                <w:sz w:val="22"/>
              </w:rPr>
              <w:t>Unchanged since Q1 earnings; wide range reflects fuel uncertainty. Consensus sits ~4% above midpoint. Fuel has risen 15–20% since early July (per UAL), creating downside risk to the range.</w:t>
            </w:r>
          </w:p>
        </w:tc>
      </w:tr>
      <w:tr>
        <w:tc>
          <w:tcPr>
            <w:tcW w:type="dxa" w:w="1728"/>
          </w:tcPr>
          <w:p>
            <w:r>
              <w:rPr>
                <w:rFonts w:ascii="Calibri" w:hAnsi="Calibri"/>
                <w:sz w:val="22"/>
              </w:rPr>
              <w:t>Q2 2026 RASM Growth (YoY)</w:t>
            </w:r>
          </w:p>
        </w:tc>
        <w:tc>
          <w:tcPr>
            <w:tcW w:type="dxa" w:w="1728"/>
          </w:tcPr>
          <w:p>
            <w:r>
              <w:rPr>
                <w:rFonts w:ascii="Calibri" w:hAnsi="Calibri"/>
                <w:sz w:val="22"/>
              </w:rPr>
              <w:t>+16.5% to +18.5% YoY; “industry-leading by a wide margin”</w:t>
            </w:r>
          </w:p>
        </w:tc>
        <w:tc>
          <w:tcPr>
            <w:tcW w:type="dxa" w:w="1728"/>
          </w:tcPr>
          <w:p>
            <w:r>
              <w:rPr>
                <w:rFonts w:ascii="Calibri" w:hAnsi="Calibri"/>
                <w:sz w:val="22"/>
              </w:rPr>
              <w:t>—</w:t>
            </w:r>
          </w:p>
        </w:tc>
        <w:tc>
          <w:tcPr>
            <w:tcW w:type="dxa" w:w="1728"/>
          </w:tcPr>
          <w:p>
            <w:r>
              <w:rPr>
                <w:rFonts w:ascii="Calibri" w:hAnsi="Calibri"/>
                <w:sz w:val="22"/>
              </w:rPr>
              <w:t>~+19.6% (pax RASM); ~+18.6% (total RASM)</w:t>
            </w:r>
          </w:p>
        </w:tc>
        <w:tc>
          <w:tcPr>
            <w:tcW w:type="dxa" w:w="1728"/>
          </w:tcPr>
          <w:p>
            <w:r>
              <w:rPr>
                <w:rFonts w:ascii="Calibri" w:hAnsi="Calibri"/>
                <w:sz w:val="22"/>
              </w:rPr>
              <w:t>Consensus slightly above guidance top end, reflecting strong peer read-throughs (DAL +12.4%, UAL +12.1%). Management confirmed at Bernstein (May 28) that yield traction has accelerated vs. Q1.</w:t>
            </w:r>
          </w:p>
        </w:tc>
      </w:tr>
      <w:tr>
        <w:tc>
          <w:tcPr>
            <w:tcW w:type="dxa" w:w="1728"/>
          </w:tcPr>
          <w:p>
            <w:r>
              <w:rPr>
                <w:rFonts w:ascii="Calibri" w:hAnsi="Calibri"/>
                <w:sz w:val="22"/>
              </w:rPr>
              <w:t>Q2 2026 CASM-X Growth (YoY)</w:t>
            </w:r>
          </w:p>
        </w:tc>
        <w:tc>
          <w:tcPr>
            <w:tcW w:type="dxa" w:w="1728"/>
          </w:tcPr>
          <w:p>
            <w:r>
              <w:rPr>
                <w:rFonts w:ascii="Calibri" w:hAnsi="Calibri"/>
                <w:sz w:val="22"/>
              </w:rPr>
              <w:t>+3.5% to +4.0% YoY on ~+0.5% capacity</w:t>
            </w:r>
          </w:p>
        </w:tc>
        <w:tc>
          <w:tcPr>
            <w:tcW w:type="dxa" w:w="1728"/>
          </w:tcPr>
          <w:p>
            <w:r>
              <w:rPr>
                <w:rFonts w:ascii="Calibri" w:hAnsi="Calibri"/>
                <w:sz w:val="22"/>
              </w:rPr>
              <w:t>—</w:t>
            </w:r>
          </w:p>
        </w:tc>
        <w:tc>
          <w:tcPr>
            <w:tcW w:type="dxa" w:w="1728"/>
          </w:tcPr>
          <w:p>
            <w:r>
              <w:rPr>
                <w:rFonts w:ascii="Calibri" w:hAnsi="Calibri"/>
                <w:sz w:val="22"/>
              </w:rPr>
              <w:t>~+3.8% YoY (12.50¢ vs. 12.04¢)</w:t>
            </w:r>
          </w:p>
        </w:tc>
        <w:tc>
          <w:tcPr>
            <w:tcW w:type="dxa" w:w="1728"/>
          </w:tcPr>
          <w:p>
            <w:r>
              <w:rPr>
                <w:rFonts w:ascii="Calibri" w:hAnsi="Calibri"/>
                <w:sz w:val="22"/>
              </w:rPr>
              <w:t>Unchanged; consensus in line with guidance midpoint. LUV beat CASM-X guidance by ~50bps in Q1 2026.</w:t>
            </w:r>
          </w:p>
        </w:tc>
      </w:tr>
      <w:tr>
        <w:tc>
          <w:tcPr>
            <w:tcW w:type="dxa" w:w="1728"/>
          </w:tcPr>
          <w:p>
            <w:r>
              <w:rPr>
                <w:rFonts w:ascii="Calibri" w:hAnsi="Calibri"/>
                <w:sz w:val="22"/>
              </w:rPr>
              <w:t>Q2 2026 Fuel Price/Gallon</w:t>
            </w:r>
          </w:p>
        </w:tc>
        <w:tc>
          <w:tcPr>
            <w:tcW w:type="dxa" w:w="1728"/>
          </w:tcPr>
          <w:p>
            <w:r>
              <w:rPr>
                <w:rFonts w:ascii="Calibri" w:hAnsi="Calibri"/>
                <w:sz w:val="22"/>
              </w:rPr>
              <w:t>$4.10–$4.15 (based on Apr 16 fwd curve)</w:t>
            </w:r>
          </w:p>
        </w:tc>
        <w:tc>
          <w:tcPr>
            <w:tcW w:type="dxa" w:w="1728"/>
          </w:tcPr>
          <w:p>
            <w:r>
              <w:rPr>
                <w:rFonts w:ascii="Calibri" w:hAnsi="Calibri"/>
                <w:sz w:val="22"/>
              </w:rPr>
              <w:t>—</w:t>
            </w:r>
          </w:p>
        </w:tc>
        <w:tc>
          <w:tcPr>
            <w:tcW w:type="dxa" w:w="1728"/>
          </w:tcPr>
          <w:p>
            <w:r>
              <w:rPr>
                <w:rFonts w:ascii="Calibri" w:hAnsi="Calibri"/>
                <w:sz w:val="22"/>
              </w:rPr>
              <w:t>$4.12 (consensus)</w:t>
            </w:r>
          </w:p>
        </w:tc>
        <w:tc>
          <w:tcPr>
            <w:tcW w:type="dxa" w:w="1728"/>
          </w:tcPr>
          <w:p>
            <w:r>
              <w:rPr>
                <w:rFonts w:ascii="Calibri" w:hAnsi="Calibri"/>
                <w:sz w:val="22"/>
              </w:rPr>
              <w:t>Unchanged; consensus in line with guidance. ALK reported Q2 actual at $4.43/gal; DAL at $3.93/gal (with refinery benefit). LUV has no refinery hedge, so actual fuel likely closer to ALK.</w:t>
            </w:r>
          </w:p>
        </w:tc>
      </w:tr>
      <w:tr>
        <w:tc>
          <w:tcPr>
            <w:tcW w:type="dxa" w:w="1728"/>
          </w:tcPr>
          <w:p>
            <w:r>
              <w:rPr>
                <w:rFonts w:ascii="Calibri" w:hAnsi="Calibri"/>
                <w:sz w:val="22"/>
              </w:rPr>
              <w:t>Q2 2026 Capacity (ASMs)</w:t>
            </w:r>
          </w:p>
        </w:tc>
        <w:tc>
          <w:tcPr>
            <w:tcW w:type="dxa" w:w="1728"/>
          </w:tcPr>
          <w:p>
            <w:r>
              <w:rPr>
                <w:rFonts w:ascii="Calibri" w:hAnsi="Calibri"/>
                <w:sz w:val="22"/>
              </w:rPr>
              <w:t>+0.5% YoY (midpoint)</w:t>
            </w:r>
          </w:p>
        </w:tc>
        <w:tc>
          <w:tcPr>
            <w:tcW w:type="dxa" w:w="1728"/>
          </w:tcPr>
          <w:p>
            <w:r>
              <w:rPr>
                <w:rFonts w:ascii="Calibri" w:hAnsi="Calibri"/>
                <w:sz w:val="22"/>
              </w:rPr>
              <w:t>—</w:t>
            </w:r>
          </w:p>
        </w:tc>
        <w:tc>
          <w:tcPr>
            <w:tcW w:type="dxa" w:w="1728"/>
          </w:tcPr>
          <w:p>
            <w:r>
              <w:rPr>
                <w:rFonts w:ascii="Calibri" w:hAnsi="Calibri"/>
                <w:sz w:val="22"/>
              </w:rPr>
              <w:t>47.10B ASMs (+0.2% YoY)</w:t>
            </w:r>
          </w:p>
        </w:tc>
        <w:tc>
          <w:tcPr>
            <w:tcW w:type="dxa" w:w="1728"/>
          </w:tcPr>
          <w:p>
            <w:r>
              <w:rPr>
                <w:rFonts w:ascii="Calibri" w:hAnsi="Calibri"/>
                <w:sz w:val="22"/>
              </w:rPr>
              <w:t>Unchanged; consensus slightly below guidance midpoint, consistent with disciplined capacity posture.</w:t>
            </w:r>
          </w:p>
        </w:tc>
      </w:tr>
      <w:tr>
        <w:tc>
          <w:tcPr>
            <w:tcW w:type="dxa" w:w="1728"/>
          </w:tcPr>
          <w:p>
            <w:r>
              <w:rPr>
                <w:rFonts w:ascii="Calibri" w:hAnsi="Calibri"/>
                <w:sz w:val="22"/>
              </w:rPr>
              <w:t>FY 2026 Adj. EPS</w:t>
            </w:r>
          </w:p>
        </w:tc>
        <w:tc>
          <w:tcPr>
            <w:tcW w:type="dxa" w:w="1728"/>
          </w:tcPr>
          <w:p>
            <w:r>
              <w:rPr>
                <w:rFonts w:ascii="Calibri" w:hAnsi="Calibri"/>
                <w:sz w:val="22"/>
              </w:rPr>
              <w:t>At least $4.00 (“we did not pull our guide”)</w:t>
            </w:r>
          </w:p>
        </w:tc>
        <w:tc>
          <w:tcPr>
            <w:tcW w:type="dxa" w:w="1728"/>
          </w:tcPr>
          <w:p>
            <w:r>
              <w:rPr>
                <w:rFonts w:ascii="Calibri" w:hAnsi="Calibri"/>
                <w:sz w:val="22"/>
              </w:rPr>
              <w:t>—</w:t>
            </w:r>
          </w:p>
        </w:tc>
        <w:tc>
          <w:tcPr>
            <w:tcW w:type="dxa" w:w="1728"/>
          </w:tcPr>
          <w:p>
            <w:r>
              <w:rPr>
                <w:rFonts w:ascii="Calibri" w:hAnsi="Calibri"/>
                <w:sz w:val="22"/>
              </w:rPr>
              <w:t>$3.15</w:t>
            </w:r>
          </w:p>
        </w:tc>
        <w:tc>
          <w:tcPr>
            <w:tcW w:type="dxa" w:w="1728"/>
          </w:tcPr>
          <w:p>
            <w:r>
              <w:rPr>
                <w:rFonts w:ascii="Calibri" w:hAnsi="Calibri"/>
                <w:sz w:val="22"/>
              </w:rPr>
              <w:t>Maintained at Q1 earnings; management explicitly stated scenarios exist to hit $4 but requires lower fuel and/or stronger revenue. Consensus at $3.15 implies the Street does not believe the $4 guide is achievable at current fuel prices.</w:t>
            </w:r>
          </w:p>
        </w:tc>
      </w:tr>
    </w:tbl>
    <w:p>
      <w:r>
        <w:rPr>
          <w:rFonts w:ascii="Calibri" w:hAnsi="Calibri"/>
          <w:i/>
          <w:color w:val="525866"/>
          <w:sz w:val="22"/>
        </w:rPr>
        <w:t>Source: Q1 2026 LUV Earnings Call (April 22–23, 2026); Bernstein Strategic Decisions Conference (May 28, 2026); Visible Alpha Consensus and Actuals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EPS estimates have </w:t>
      </w:r>
      <w:r>
        <w:rPr>
          <w:rFonts w:ascii="Calibri" w:hAnsi="Calibri"/>
          <w:b/>
          <w:color w:val="525866"/>
          <w:sz w:val="22"/>
        </w:rPr>
        <w:t>moved higher since the Q1 print</w:t>
      </w:r>
      <w:r>
        <w:rPr>
          <w:rFonts w:ascii="Calibri" w:hAnsi="Calibri"/>
          <w:color w:val="525866"/>
          <w:sz w:val="22"/>
        </w:rPr>
        <w:t xml:space="preserve"> (+11.8% from $0.46 to $0.52), reflecting the strong RASM trajectory and peer read-throughs, but the </w:t>
      </w:r>
      <w:r>
        <w:rPr>
          <w:rFonts w:ascii="Calibri" w:hAnsi="Calibri"/>
          <w:b/>
          <w:color w:val="525866"/>
          <w:sz w:val="22"/>
        </w:rPr>
        <w:t>full-year consensus at $3.15 remains well below the $4 guide</w:t>
      </w:r>
      <w:r>
        <w:rPr>
          <w:rFonts w:ascii="Calibri" w:hAnsi="Calibri"/>
          <w:color w:val="525866"/>
          <w:sz w:val="22"/>
        </w:rPr>
        <w:t xml:space="preserve"> — the Street is pricing in fuel headwinds that management has not yet conceded. The gap between guidance and consensus on FY EPS is the key debate.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28,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$0.46</w:t>
            </w:r>
          </w:p>
        </w:tc>
        <w:tc>
          <w:tcPr>
            <w:tcW w:type="dxa" w:w="1080"/>
          </w:tcPr>
          <w:p>
            <w:r>
              <w:rPr>
                <w:rFonts w:ascii="Calibri" w:hAnsi="Calibri"/>
                <w:sz w:val="22"/>
              </w:rPr>
              <w:t>$0.52</w:t>
            </w:r>
          </w:p>
        </w:tc>
        <w:tc>
          <w:tcPr>
            <w:tcW w:type="dxa" w:w="1080"/>
          </w:tcPr>
          <w:p>
            <w:r>
              <w:rPr>
                <w:rFonts w:ascii="Calibri" w:hAnsi="Calibri"/>
                <w:b/>
                <w:color w:val="30A46C"/>
                <w:sz w:val="22"/>
              </w:rPr>
              <w:t>+11.8%</w:t>
            </w:r>
          </w:p>
        </w:tc>
        <w:tc>
          <w:tcPr>
            <w:tcW w:type="dxa" w:w="1080"/>
          </w:tcPr>
          <w:p>
            <w:r>
              <w:rPr>
                <w:rFonts w:ascii="Calibri" w:hAnsi="Calibri"/>
                <w:sz w:val="22"/>
              </w:rPr>
              <w:t>$0.35–$0.65 (mid: $0.50)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+3.9% above midpoint</w:t>
            </w:r>
          </w:p>
        </w:tc>
      </w:tr>
      <w:tr>
        <w:tc>
          <w:tcPr>
            <w:tcW w:type="dxa" w:w="1080"/>
          </w:tcPr>
          <w:p>
            <w:r>
              <w:rPr>
                <w:rFonts w:ascii="Calibri" w:hAnsi="Calibri"/>
                <w:sz w:val="22"/>
              </w:rPr>
              <w:t>Total Revenue — Q2 2026</w:t>
            </w:r>
          </w:p>
        </w:tc>
        <w:tc>
          <w:tcPr>
            <w:tcW w:type="dxa" w:w="1080"/>
          </w:tcPr>
          <w:p>
            <w:r>
              <w:rPr>
                <w:rFonts w:ascii="Calibri" w:hAnsi="Calibri"/>
                <w:sz w:val="22"/>
              </w:rPr>
              <w:t>$8.562B</w:t>
            </w:r>
          </w:p>
        </w:tc>
        <w:tc>
          <w:tcPr>
            <w:tcW w:type="dxa" w:w="1080"/>
          </w:tcPr>
          <w:p>
            <w:r>
              <w:rPr>
                <w:rFonts w:ascii="Calibri" w:hAnsi="Calibri"/>
                <w:sz w:val="22"/>
              </w:rPr>
              <w:t>$8.569B</w:t>
            </w:r>
          </w:p>
        </w:tc>
        <w:tc>
          <w:tcPr>
            <w:tcW w:type="dxa" w:w="1080"/>
          </w:tcPr>
          <w:p>
            <w:r>
              <w:rPr>
                <w:rFonts w:ascii="Calibri" w:hAnsi="Calibri"/>
                <w:sz w:val="22"/>
              </w:rPr>
              <w:t>+0.1%</w:t>
            </w:r>
          </w:p>
        </w:tc>
        <w:tc>
          <w:tcPr>
            <w:tcW w:type="dxa" w:w="1080"/>
          </w:tcPr>
          <w:p>
            <w:r>
              <w:rPr>
                <w:rFonts w:ascii="Calibri" w:hAnsi="Calibri"/>
                <w:sz w:val="22"/>
              </w:rPr>
              <w:t>No explicit $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RASM (Pax/ASM) — Q2 2026</w:t>
            </w:r>
          </w:p>
        </w:tc>
        <w:tc>
          <w:tcPr>
            <w:tcW w:type="dxa" w:w="1080"/>
          </w:tcPr>
          <w:p>
            <w:r>
              <w:rPr>
                <w:rFonts w:ascii="Calibri" w:hAnsi="Calibri"/>
                <w:sz w:val="22"/>
              </w:rPr>
              <w:t>16.84¢</w:t>
            </w:r>
          </w:p>
        </w:tc>
        <w:tc>
          <w:tcPr>
            <w:tcW w:type="dxa" w:w="1080"/>
          </w:tcPr>
          <w:p>
            <w:r>
              <w:rPr>
                <w:rFonts w:ascii="Calibri" w:hAnsi="Calibri"/>
                <w:sz w:val="22"/>
              </w:rPr>
              <w:t>16.87¢</w:t>
            </w:r>
          </w:p>
        </w:tc>
        <w:tc>
          <w:tcPr>
            <w:tcW w:type="dxa" w:w="1080"/>
          </w:tcPr>
          <w:p>
            <w:r>
              <w:rPr>
                <w:rFonts w:ascii="Calibri" w:hAnsi="Calibri"/>
                <w:sz w:val="22"/>
              </w:rPr>
              <w:t>+0.2%</w:t>
            </w:r>
          </w:p>
        </w:tc>
        <w:tc>
          <w:tcPr>
            <w:tcW w:type="dxa" w:w="1080"/>
          </w:tcPr>
          <w:p>
            <w:r>
              <w:rPr>
                <w:rFonts w:ascii="Calibri" w:hAnsi="Calibri"/>
                <w:sz w:val="22"/>
              </w:rPr>
              <w:t>+16.5% to +18.5%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pts above guidance midpoint</w:t>
            </w:r>
          </w:p>
        </w:tc>
      </w:tr>
      <w:tr>
        <w:tc>
          <w:tcPr>
            <w:tcW w:type="dxa" w:w="1080"/>
          </w:tcPr>
          <w:p>
            <w:r>
              <w:rPr>
                <w:rFonts w:ascii="Calibri" w:hAnsi="Calibri"/>
                <w:sz w:val="22"/>
              </w:rPr>
              <w:t>Fuel Price/Gal — Q2 2026</w:t>
            </w:r>
          </w:p>
        </w:tc>
        <w:tc>
          <w:tcPr>
            <w:tcW w:type="dxa" w:w="1080"/>
          </w:tcPr>
          <w:p>
            <w:r>
              <w:rPr>
                <w:rFonts w:ascii="Calibri" w:hAnsi="Calibri"/>
                <w:sz w:val="22"/>
              </w:rPr>
              <w:t>$4.21</w:t>
            </w:r>
          </w:p>
        </w:tc>
        <w:tc>
          <w:tcPr>
            <w:tcW w:type="dxa" w:w="1080"/>
          </w:tcPr>
          <w:p>
            <w:r>
              <w:rPr>
                <w:rFonts w:ascii="Calibri" w:hAnsi="Calibri"/>
                <w:sz w:val="22"/>
              </w:rPr>
              <w:t>$4.12</w:t>
            </w:r>
          </w:p>
        </w:tc>
        <w:tc>
          <w:tcPr>
            <w:tcW w:type="dxa" w:w="1080"/>
          </w:tcPr>
          <w:p>
            <w:r>
              <w:rPr>
                <w:rFonts w:ascii="Calibri" w:hAnsi="Calibri"/>
                <w:sz w:val="22"/>
              </w:rPr>
              <w:t>−2.1%</w:t>
            </w:r>
          </w:p>
        </w:tc>
        <w:tc>
          <w:tcPr>
            <w:tcW w:type="dxa" w:w="1080"/>
          </w:tcPr>
          <w:p>
            <w:r>
              <w:rPr>
                <w:rFonts w:ascii="Calibri" w:hAnsi="Calibri"/>
                <w:sz w:val="22"/>
              </w:rPr>
              <w:t>$4.10–$4.15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 2026</w:t>
            </w:r>
          </w:p>
        </w:tc>
        <w:tc>
          <w:tcPr>
            <w:tcW w:type="dxa" w:w="1080"/>
          </w:tcPr>
          <w:p>
            <w:r>
              <w:rPr>
                <w:rFonts w:ascii="Calibri" w:hAnsi="Calibri"/>
                <w:sz w:val="22"/>
              </w:rPr>
              <w:t>$2.63</w:t>
            </w:r>
          </w:p>
        </w:tc>
        <w:tc>
          <w:tcPr>
            <w:tcW w:type="dxa" w:w="1080"/>
          </w:tcPr>
          <w:p>
            <w:r>
              <w:rPr>
                <w:rFonts w:ascii="Calibri" w:hAnsi="Calibri"/>
                <w:sz w:val="22"/>
              </w:rPr>
              <w:t>$3.15</w:t>
            </w:r>
          </w:p>
        </w:tc>
        <w:tc>
          <w:tcPr>
            <w:tcW w:type="dxa" w:w="1080"/>
          </w:tcPr>
          <w:p>
            <w:r>
              <w:rPr>
                <w:rFonts w:ascii="Calibri" w:hAnsi="Calibri"/>
                <w:b/>
                <w:color w:val="30A46C"/>
                <w:sz w:val="22"/>
              </w:rPr>
              <w:t>+19.8%</w:t>
            </w:r>
          </w:p>
        </w:tc>
        <w:tc>
          <w:tcPr>
            <w:tcW w:type="dxa" w:w="1080"/>
          </w:tcPr>
          <w:p>
            <w:r>
              <w:rPr>
                <w:rFonts w:ascii="Calibri" w:hAnsi="Calibri"/>
                <w:sz w:val="22"/>
              </w:rPr>
              <w:t>At least $4.00</w:t>
            </w:r>
          </w:p>
        </w:tc>
        <w:tc>
          <w:tcPr>
            <w:tcW w:type="dxa" w:w="1080"/>
          </w:tcPr>
          <w:p>
            <w:r>
              <w:rPr>
                <w:rFonts w:ascii="Calibri" w:hAnsi="Calibri"/>
                <w:sz w:val="22"/>
              </w:rPr>
              <w:t>Unchanged (“not pulled”)</w:t>
            </w:r>
          </w:p>
        </w:tc>
        <w:tc>
          <w:tcPr>
            <w:tcW w:type="dxa" w:w="1080"/>
          </w:tcPr>
          <w:p>
            <w:r>
              <w:rPr>
                <w:rFonts w:ascii="Calibri" w:hAnsi="Calibri"/>
                <w:sz w:val="22"/>
              </w:rPr>
              <w:t>—</w:t>
            </w:r>
          </w:p>
        </w:tc>
        <w:tc>
          <w:tcPr>
            <w:tcW w:type="dxa" w:w="1080"/>
          </w:tcPr>
          <w:p>
            <w:r>
              <w:rPr>
                <w:rFonts w:ascii="Calibri" w:hAnsi="Calibri"/>
                <w:b/>
                <w:color w:val="E5484D"/>
                <w:sz w:val="22"/>
              </w:rPr>
              <w:t>−21.3% below guide floor</w:t>
            </w:r>
          </w:p>
        </w:tc>
      </w:tr>
      <w:tr>
        <w:tc>
          <w:tcPr>
            <w:tcW w:type="dxa" w:w="1080"/>
          </w:tcPr>
          <w:p>
            <w:r>
              <w:rPr>
                <w:rFonts w:ascii="Calibri" w:hAnsi="Calibri"/>
                <w:sz w:val="22"/>
              </w:rPr>
              <w:t>Total Revenue — FY 2026</w:t>
            </w:r>
          </w:p>
        </w:tc>
        <w:tc>
          <w:tcPr>
            <w:tcW w:type="dxa" w:w="1080"/>
          </w:tcPr>
          <w:p>
            <w:r>
              <w:rPr>
                <w:rFonts w:ascii="Calibri" w:hAnsi="Calibri"/>
                <w:sz w:val="22"/>
              </w:rPr>
              <w:t>$32.62B</w:t>
            </w:r>
          </w:p>
        </w:tc>
        <w:tc>
          <w:tcPr>
            <w:tcW w:type="dxa" w:w="1080"/>
          </w:tcPr>
          <w:p>
            <w:r>
              <w:rPr>
                <w:rFonts w:ascii="Calibri" w:hAnsi="Calibri"/>
                <w:sz w:val="22"/>
              </w:rPr>
              <w:t>$32.55B</w:t>
            </w:r>
          </w:p>
        </w:tc>
        <w:tc>
          <w:tcPr>
            <w:tcW w:type="dxa" w:w="1080"/>
          </w:tcPr>
          <w:p>
            <w:r>
              <w:rPr>
                <w:rFonts w:ascii="Calibri" w:hAnsi="Calibri"/>
                <w:sz w:val="22"/>
              </w:rPr>
              <w:t>−0.2%</w:t>
            </w:r>
          </w:p>
        </w:tc>
        <w:tc>
          <w:tcPr>
            <w:tcW w:type="dxa" w:w="1080"/>
          </w:tcPr>
          <w:p>
            <w:r>
              <w:rPr>
                <w:rFonts w:ascii="Calibri" w:hAnsi="Calibri"/>
                <w:sz w:val="22"/>
              </w:rPr>
              <w:t>No explicit $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 xml:space="preserve">The most notable dynamic is the </w:t>
      </w:r>
      <w:r>
        <w:rPr>
          <w:rFonts w:ascii="Calibri" w:hAnsi="Calibri"/>
          <w:b/>
          <w:i/>
          <w:color w:val="525866"/>
          <w:sz w:val="22"/>
        </w:rPr>
        <w:t>FY 2026 EPS gap</w:t>
      </w:r>
      <w:r>
        <w:rPr>
          <w:rFonts w:ascii="Calibri" w:hAnsi="Calibri"/>
          <w:i/>
          <w:color w:val="525866"/>
          <w:sz w:val="22"/>
        </w:rPr>
        <w:t>: consensus at $3.15 is 21% below management's $4 floor, implying the Street is embedding ~$0.85 of additional fuel headwind that management has not conceded. Q2 EPS estimates have risen +11.8% since the Q1 print, driven by strong RASM momentum and peer read-throughs, but the full-year gap will only close if fuel moderates materially.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LUV has </w:t>
      </w:r>
      <w:r>
        <w:rPr>
          <w:rFonts w:ascii="Calibri" w:hAnsi="Calibri"/>
          <w:b/>
          <w:color w:val="525866"/>
          <w:sz w:val="22"/>
        </w:rPr>
        <w:t>significantly outperformed</w:t>
      </w:r>
      <w:r>
        <w:rPr>
          <w:rFonts w:ascii="Calibri" w:hAnsi="Calibri"/>
          <w:color w:val="525866"/>
          <w:sz w:val="22"/>
        </w:rPr>
        <w:t xml:space="preserve"> both the sector (JETS) and the broader market (SPY) since the Q1 2026 earnings print, driven by </w:t>
      </w:r>
      <w:r>
        <w:rPr>
          <w:rFonts w:ascii="Calibri" w:hAnsi="Calibri"/>
          <w:b/>
          <w:color w:val="525866"/>
          <w:sz w:val="22"/>
        </w:rPr>
        <w:t>multiple re-rating on the transformation story</w:t>
      </w:r>
      <w:r>
        <w:rPr>
          <w:rFonts w:ascii="Calibri" w:hAnsi="Calibri"/>
          <w:color w:val="525866"/>
          <w:sz w:val="22"/>
        </w:rPr>
        <w:t xml:space="preserve"> rather than estimate revisions alone — the stock is up ~24% vs. JETS +18% and SPY +5%, suggesting sentiment has shifted from skeptical to constructive, and the stock is no longer cheap heading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LUV vs. JETS (Airline Sector ETF) vs. S&amp;P 500 — Indexed to 100 at Q1 2026 Earnings (April 22, 2026). LUV: +23.7% | JETS: +17.9% | SPY: +5.2%. Source: Stock Price Data (Yahoo Finance).</w:t>
      </w:r>
    </w:p>
    <w:p>
      <w:pPr>
        <w:pStyle w:val="ListBullet"/>
        <w:ind w:left="360" w:hanging="360"/>
      </w:pPr>
      <w:r>
        <w:rPr>
          <w:rFonts w:ascii="Calibri" w:hAnsi="Calibri"/>
          <w:color w:val="525866"/>
          <w:sz w:val="22"/>
        </w:rPr>
        <w:t xml:space="preserve">LUV closed at $39.35 on April 22, 2026 (Q1 earnings day) and at $48.69 on July 21, 2026, a gain of </w:t>
      </w:r>
      <w:r>
        <w:rPr>
          <w:rFonts w:ascii="Calibri" w:hAnsi="Calibri"/>
          <w:b/>
          <w:color w:val="525866"/>
          <w:sz w:val="22"/>
        </w:rPr>
        <w:t>+$9.34 / +23.7%</w:t>
      </w:r>
      <w:r>
        <w:rPr>
          <w:rFonts w:ascii="Calibri" w:hAnsi="Calibri"/>
          <w:color w:val="525866"/>
          <w:sz w:val="22"/>
        </w:rPr>
        <w:t xml:space="preserve"> over the period.</w:t>
      </w:r>
    </w:p>
    <w:p>
      <w:pPr>
        <w:pStyle w:val="ListBullet"/>
        <w:ind w:left="360" w:hanging="360"/>
      </w:pPr>
      <w:r>
        <w:rPr>
          <w:rFonts w:ascii="Calibri" w:hAnsi="Calibri"/>
          <w:color w:val="525866"/>
          <w:sz w:val="22"/>
        </w:rPr>
        <w:t>The stock initially sold off sharply on April 23 (to $37.75, −4.1%) on the wide Q2 EPS guidance range and fuel concerns, but recovered quickly as investors focused on the RASM beat and transformation momentum.</w:t>
      </w:r>
    </w:p>
    <w:p>
      <w:pPr>
        <w:pStyle w:val="ListBullet"/>
        <w:ind w:left="360" w:hanging="360"/>
      </w:pPr>
      <w:r>
        <w:rPr>
          <w:rFonts w:ascii="Calibri" w:hAnsi="Calibri"/>
          <w:color w:val="525866"/>
          <w:sz w:val="22"/>
        </w:rPr>
        <w:t>The most significant re-rating occurred in late May through late June, coinciding with the Bernstein conference (May 27–28) where management confirmed seven consecutive fare increases and accelerating yield traction, and peer prints from DAL and UAL confirming industry-wide demand strength.</w:t>
      </w:r>
    </w:p>
    <w:p>
      <w:pPr>
        <w:pStyle w:val="ListBullet"/>
        <w:ind w:left="360" w:hanging="360"/>
      </w:pPr>
      <w:r>
        <w:rPr>
          <w:rFonts w:ascii="Calibri" w:hAnsi="Calibri"/>
          <w:color w:val="525866"/>
          <w:sz w:val="22"/>
        </w:rPr>
        <w:t>LUV peaked at $52.09 on June 25, 2026, before pulling back ~6.5% into the Q2 print, a typical pre-earnings consolidation pattern.</w:t>
      </w:r>
    </w:p>
    <w:p>
      <w:pPr>
        <w:pStyle w:val="ListBullet"/>
        <w:ind w:left="360" w:hanging="360"/>
      </w:pPr>
      <w:r>
        <w:rPr>
          <w:rFonts w:ascii="Calibri" w:hAnsi="Calibri"/>
          <w:color w:val="525866"/>
          <w:sz w:val="22"/>
        </w:rPr>
        <w:t>JETS ETF used as the sector benchmark (U.S. airline sub-sector). The outperformance vs. JETS (+5.8 pts) reflects LUV-specific transformation premium rather than pure sector beta.</w:t>
      </w:r>
    </w:p>
    <w:p>
      <w:pPr>
        <w:pStyle w:val="Heading2"/>
      </w:pPr>
      <w:r>
        <w:rPr>
          <w:rFonts w:ascii="Calibri" w:hAnsi="Calibri"/>
          <w:b/>
          <w:color w:val="3B4259"/>
          <w:sz w:val="28"/>
        </w:rPr>
        <w:t>6. Peer Commentaries — Read-Through for LUV Q2 2026</w:t>
      </w:r>
    </w:p>
    <w:p>
      <w:r>
        <w:rPr>
          <w:rFonts w:ascii="Calibri" w:hAnsi="Calibri"/>
          <w:b/>
          <w:color w:val="525866"/>
          <w:sz w:val="22"/>
        </w:rPr>
        <w:t xml:space="preserve">Key Takeaway: </w:t>
      </w:r>
      <w:r>
        <w:rPr>
          <w:rFonts w:ascii="Calibri" w:hAnsi="Calibri"/>
          <w:color w:val="525866"/>
          <w:sz w:val="22"/>
        </w:rPr>
        <w:t xml:space="preserve">Peer Q2 2026 prints and conference commentary are </w:t>
      </w:r>
      <w:r>
        <w:rPr>
          <w:rFonts w:ascii="Calibri" w:hAnsi="Calibri"/>
          <w:b/>
          <w:color w:val="525866"/>
          <w:sz w:val="22"/>
        </w:rPr>
        <w:t>broadly constructive for LUV</w:t>
      </w:r>
      <w:r>
        <w:rPr>
          <w:rFonts w:ascii="Calibri" w:hAnsi="Calibri"/>
          <w:color w:val="525866"/>
          <w:sz w:val="22"/>
        </w:rPr>
        <w:t xml:space="preserve"> — demand is strong and broad-based, corporate travel is accelerating, and fare increases are sticking — but </w:t>
      </w:r>
      <w:r>
        <w:rPr>
          <w:rFonts w:ascii="Calibri" w:hAnsi="Calibri"/>
          <w:b/>
          <w:color w:val="525866"/>
          <w:sz w:val="22"/>
        </w:rPr>
        <w:t>fuel remains the key risk</w:t>
      </w:r>
      <w:r>
        <w:rPr>
          <w:rFonts w:ascii="Calibri" w:hAnsi="Calibri"/>
          <w:color w:val="525866"/>
          <w:sz w:val="22"/>
        </w:rPr>
        <w:t>, with ALK reporting Q2 fuel at $4.43/gallon and UAL flagging a 15–20% fuel spike since early July. The read-through on RASM is positive; the read-through on EPS is mixed given fuel.</w:t>
      </w:r>
    </w:p>
    <w:p>
      <w:r>
        <w:rPr>
          <w:rFonts w:ascii="Calibri" w:hAnsi="Calibri"/>
          <w:b/>
          <w:color w:val="525866"/>
          <w:sz w:val="22"/>
        </w:rPr>
        <w:t xml:space="preserve">Note: </w:t>
      </w:r>
      <w:r>
        <w:rPr>
          <w:rFonts w:ascii="Calibri" w:hAnsi="Calibri"/>
          <w:i/>
          <w:color w:val="525866"/>
          <w:sz w:val="22"/>
        </w:rPr>
        <w:t>All commentary below is from Q2 2026 earnings calls/releases (July 2026) or post-Q1 2026 conferences (May–June 2026) — i.e., commentary about the current reporting quarter or the period after LUV’s last earnings. No prior-quarter results commentary is included.</w:t>
      </w:r>
    </w:p>
    <w:p>
      <w:pPr>
        <w:pStyle w:val="Heading3"/>
      </w:pPr>
      <w:r>
        <w:rPr>
          <w:rFonts w:ascii="Calibri" w:hAnsi="Calibri"/>
          <w:b/>
          <w:color w:val="3B4259"/>
          <w:sz w:val="24"/>
        </w:rPr>
        <w:t>Delta Air Lines (DAL) — Q2 2026 Earnings Call (July 10, 2026)</w:t>
      </w:r>
    </w:p>
    <w:p>
      <w:r>
        <w:rPr>
          <w:rFonts w:ascii="Calibri" w:hAnsi="Calibri"/>
          <w:b/>
          <w:color w:val="525866"/>
          <w:sz w:val="22"/>
        </w:rPr>
        <w:t xml:space="preserve">Read-Through: </w:t>
      </w:r>
      <w:r>
        <w:rPr>
          <w:rFonts w:ascii="Calibri" w:hAnsi="Calibri"/>
          <w:color w:val="525866"/>
          <w:sz w:val="22"/>
        </w:rPr>
        <w:t>Strongly positive on demand and RASM; mixed on EPS given fuel.</w:t>
      </w:r>
    </w:p>
    <w:p>
      <w:pPr>
        <w:pStyle w:val="ListBullet"/>
        <w:ind w:left="360" w:hanging="360"/>
      </w:pPr>
      <w:r>
        <w:rPr>
          <w:rFonts w:ascii="Calibri" w:hAnsi="Calibri"/>
          <w:color w:val="525866"/>
          <w:sz w:val="22"/>
        </w:rPr>
        <w:t xml:space="preserve">Record revenue, +14% YoY to $17.7B on ~1% capacity growth; </w:t>
      </w:r>
      <w:r>
        <w:rPr>
          <w:rFonts w:ascii="Calibri" w:hAnsi="Calibri"/>
          <w:b/>
          <w:color w:val="525866"/>
          <w:sz w:val="22"/>
        </w:rPr>
        <w:t>total RASM +12.4% YoY</w:t>
      </w:r>
      <w:r>
        <w:rPr>
          <w:rFonts w:ascii="Calibri" w:hAnsi="Calibri"/>
          <w:color w:val="525866"/>
          <w:sz w:val="22"/>
        </w:rPr>
        <w:t xml:space="preserve"> — confirms the industry yield environment is robust heading into LUV’s print.</w:t>
      </w:r>
    </w:p>
    <w:p>
      <w:pPr>
        <w:pStyle w:val="ListBullet"/>
        <w:ind w:left="360" w:hanging="360"/>
      </w:pPr>
      <w:r>
        <w:rPr>
          <w:rFonts w:ascii="Calibri" w:hAnsi="Calibri"/>
          <w:color w:val="525866"/>
          <w:sz w:val="22"/>
        </w:rPr>
        <w:t xml:space="preserve">Domestic RASM +12.4%, main cabin unit revenue grew mid-teens in June — </w:t>
      </w:r>
      <w:r>
        <w:rPr>
          <w:rFonts w:ascii="Calibri" w:hAnsi="Calibri"/>
          <w:b/>
          <w:color w:val="525866"/>
          <w:sz w:val="22"/>
        </w:rPr>
        <w:t>the exit rate was significantly higher than the entry rate</w:t>
      </w:r>
      <w:r>
        <w:rPr>
          <w:rFonts w:ascii="Calibri" w:hAnsi="Calibri"/>
          <w:color w:val="525866"/>
          <w:sz w:val="22"/>
        </w:rPr>
        <w:t>, providing confidence for Q3 and supporting LUV’s guided 16.5–18.5% RASM growth.</w:t>
      </w:r>
    </w:p>
    <w:p>
      <w:pPr>
        <w:pStyle w:val="ListBullet"/>
        <w:ind w:left="360" w:hanging="360"/>
      </w:pPr>
      <w:r>
        <w:rPr>
          <w:rFonts w:ascii="Calibri" w:hAnsi="Calibri"/>
          <w:color w:val="525866"/>
          <w:sz w:val="22"/>
        </w:rPr>
        <w:t xml:space="preserve">Corporate sales across all sectors posted </w:t>
      </w:r>
      <w:r>
        <w:rPr>
          <w:rFonts w:ascii="Calibri" w:hAnsi="Calibri"/>
          <w:b/>
          <w:color w:val="525866"/>
          <w:sz w:val="22"/>
        </w:rPr>
        <w:t>double-digit growth</w:t>
      </w:r>
      <w:r>
        <w:rPr>
          <w:rFonts w:ascii="Calibri" w:hAnsi="Calibri"/>
          <w:color w:val="525866"/>
          <w:sz w:val="22"/>
        </w:rPr>
        <w:t>; core/coastal hubs up 20%+, with LA and Boston closer to 30% — directly read-through positive for LUV’s managed corporate revenue, which set records in Q1 2026.</w:t>
      </w:r>
    </w:p>
    <w:p>
      <w:pPr>
        <w:pStyle w:val="ListBullet"/>
        <w:ind w:left="360" w:hanging="360"/>
      </w:pPr>
      <w:r>
        <w:rPr>
          <w:rFonts w:ascii="Calibri" w:hAnsi="Calibri"/>
          <w:color w:val="525866"/>
          <w:sz w:val="22"/>
        </w:rPr>
        <w:t xml:space="preserve">Fuel at $3.93/gallon (with ~11¢ refinery benefit) — </w:t>
      </w:r>
      <w:r>
        <w:rPr>
          <w:rFonts w:ascii="Calibri" w:hAnsi="Calibri"/>
          <w:b/>
          <w:color w:val="525866"/>
          <w:sz w:val="22"/>
        </w:rPr>
        <w:t>LUV has no refinery, so its realized fuel cost is likely closer to ALK’s $4.43</w:t>
      </w:r>
      <w:r>
        <w:rPr>
          <w:rFonts w:ascii="Calibri" w:hAnsi="Calibri"/>
          <w:color w:val="525866"/>
          <w:sz w:val="22"/>
        </w:rPr>
        <w:t>. DAL noted fuel is ~50% higher than at the start of the year.</w:t>
      </w:r>
    </w:p>
    <w:p>
      <w:pPr>
        <w:pStyle w:val="ListBullet"/>
        <w:ind w:left="360" w:hanging="360"/>
      </w:pPr>
      <w:r>
        <w:rPr>
          <w:rFonts w:ascii="Calibri" w:hAnsi="Calibri"/>
          <w:color w:val="525866"/>
          <w:sz w:val="22"/>
        </w:rPr>
        <w:t>CEO Bastian: “</w:t>
      </w:r>
      <w:r>
        <w:rPr>
          <w:rFonts w:ascii="Calibri" w:hAnsi="Calibri"/>
          <w:b/>
          <w:color w:val="525866"/>
          <w:sz w:val="22"/>
        </w:rPr>
        <w:t>The low end of the market still has to increase fares by another 5% just to get to break even at today’s fuel environment</w:t>
      </w:r>
      <w:r>
        <w:rPr>
          <w:rFonts w:ascii="Calibri" w:hAnsi="Calibri"/>
          <w:color w:val="525866"/>
          <w:sz w:val="22"/>
        </w:rPr>
        <w:t>” — a direct read-through for LUV, which is in the midst of its own fare recapture effort.</w:t>
      </w:r>
    </w:p>
    <w:p>
      <w:pPr>
        <w:pStyle w:val="ListBullet"/>
        <w:ind w:left="360" w:hanging="360"/>
      </w:pPr>
      <w:r>
        <w:rPr>
          <w:rFonts w:ascii="Calibri" w:hAnsi="Calibri"/>
          <w:color w:val="525866"/>
          <w:sz w:val="22"/>
        </w:rPr>
        <w:t>Bastian flagged a “</w:t>
      </w:r>
      <w:r>
        <w:rPr>
          <w:rFonts w:ascii="Calibri" w:hAnsi="Calibri"/>
          <w:b/>
          <w:color w:val="525866"/>
          <w:sz w:val="22"/>
        </w:rPr>
        <w:t>secular decline in the low-cost, low-fare carrier group</w:t>
      </w:r>
      <w:r>
        <w:rPr>
          <w:rFonts w:ascii="Calibri" w:hAnsi="Calibri"/>
          <w:color w:val="525866"/>
          <w:sz w:val="22"/>
        </w:rPr>
        <w:t>” and noted that “none of that world exists any longer” — framing LUV’s transformation as a necessary response to structural industry change, not just a cyclical adjustment.</w:t>
      </w:r>
    </w:p>
    <w:p>
      <w:pPr>
        <w:pStyle w:val="ListBullet"/>
        <w:ind w:left="360" w:hanging="360"/>
      </w:pPr>
      <w:r>
        <w:rPr>
          <w:rFonts w:ascii="Calibri" w:hAnsi="Calibri"/>
          <w:color w:val="525866"/>
          <w:sz w:val="22"/>
        </w:rPr>
        <w:t xml:space="preserve">Industry capacity of ultra-LCC category is down ~30% — </w:t>
      </w:r>
      <w:r>
        <w:rPr>
          <w:rFonts w:ascii="Calibri" w:hAnsi="Calibri"/>
          <w:b/>
          <w:color w:val="525866"/>
          <w:sz w:val="22"/>
        </w:rPr>
        <w:t>structural tailwind for LUV’s pricing power</w:t>
      </w:r>
      <w:r>
        <w:rPr>
          <w:rFonts w:ascii="Calibri" w:hAnsi="Calibri"/>
          <w:color w:val="525866"/>
          <w:sz w:val="22"/>
        </w:rPr>
        <w:t xml:space="preserve"> as it repositions upmarket.</w:t>
      </w:r>
    </w:p>
    <w:p>
      <w:pPr>
        <w:pStyle w:val="Heading3"/>
      </w:pPr>
      <w:r>
        <w:rPr>
          <w:rFonts w:ascii="Calibri" w:hAnsi="Calibri"/>
          <w:b/>
          <w:color w:val="3B4259"/>
          <w:sz w:val="24"/>
        </w:rPr>
        <w:t>United Airlines (UAL) — Q2 2026 Earnings Call (July 16, 2026)</w:t>
      </w:r>
    </w:p>
    <w:p>
      <w:r>
        <w:rPr>
          <w:rFonts w:ascii="Calibri" w:hAnsi="Calibri"/>
          <w:b/>
          <w:color w:val="525866"/>
          <w:sz w:val="22"/>
        </w:rPr>
        <w:t xml:space="preserve">Read-Through: </w:t>
      </w:r>
      <w:r>
        <w:rPr>
          <w:rFonts w:ascii="Calibri" w:hAnsi="Calibri"/>
          <w:color w:val="525866"/>
          <w:sz w:val="22"/>
        </w:rPr>
        <w:t>Positive on demand and RASM trajectory; cautionary on fuel spike in early July.</w:t>
      </w:r>
    </w:p>
    <w:p>
      <w:pPr>
        <w:pStyle w:val="ListBullet"/>
        <w:ind w:left="360" w:hanging="360"/>
      </w:pPr>
      <w:r>
        <w:rPr>
          <w:rFonts w:ascii="Calibri" w:hAnsi="Calibri"/>
          <w:color w:val="525866"/>
          <w:sz w:val="22"/>
        </w:rPr>
        <w:t xml:space="preserve">Total operating revenue +16% to $17.7B; </w:t>
      </w:r>
      <w:r>
        <w:rPr>
          <w:rFonts w:ascii="Calibri" w:hAnsi="Calibri"/>
          <w:b/>
          <w:color w:val="525866"/>
          <w:sz w:val="22"/>
        </w:rPr>
        <w:t>consolidated RASM +12.1% YoY</w:t>
      </w:r>
      <w:r>
        <w:rPr>
          <w:rFonts w:ascii="Calibri" w:hAnsi="Calibri"/>
          <w:color w:val="525866"/>
          <w:sz w:val="22"/>
        </w:rPr>
        <w:t xml:space="preserve"> with load factors up slightly — confirms broad-based yield strength.</w:t>
      </w:r>
    </w:p>
    <w:p>
      <w:pPr>
        <w:pStyle w:val="ListBullet"/>
        <w:ind w:left="360" w:hanging="360"/>
      </w:pPr>
      <w:r>
        <w:rPr>
          <w:rFonts w:ascii="Calibri" w:hAnsi="Calibri"/>
          <w:color w:val="525866"/>
          <w:sz w:val="22"/>
        </w:rPr>
        <w:t xml:space="preserve">Domestic RASM +12.2%; contracted business revenues flown </w:t>
      </w:r>
      <w:r>
        <w:rPr>
          <w:rFonts w:ascii="Calibri" w:hAnsi="Calibri"/>
          <w:b/>
          <w:color w:val="525866"/>
          <w:sz w:val="22"/>
        </w:rPr>
        <w:t>+27% YoY, bookings +30%</w:t>
      </w:r>
      <w:r>
        <w:rPr>
          <w:rFonts w:ascii="Calibri" w:hAnsi="Calibri"/>
          <w:color w:val="525866"/>
          <w:sz w:val="22"/>
        </w:rPr>
        <w:t xml:space="preserve"> — strongest corporate demand read-through for LUV’s managed corporate segment.</w:t>
      </w:r>
    </w:p>
    <w:p>
      <w:pPr>
        <w:pStyle w:val="ListBullet"/>
        <w:ind w:left="360" w:hanging="360"/>
      </w:pPr>
      <w:r>
        <w:rPr>
          <w:rFonts w:ascii="Calibri" w:hAnsi="Calibri"/>
          <w:color w:val="525866"/>
          <w:sz w:val="22"/>
        </w:rPr>
        <w:t>CEO Kirby: “</w:t>
      </w:r>
      <w:r>
        <w:rPr>
          <w:rFonts w:ascii="Calibri" w:hAnsi="Calibri"/>
          <w:b/>
          <w:color w:val="525866"/>
          <w:sz w:val="22"/>
        </w:rPr>
        <w:t>United has not seen a measurable demand impact based on the higher fares</w:t>
      </w:r>
      <w:r>
        <w:rPr>
          <w:rFonts w:ascii="Calibri" w:hAnsi="Calibri"/>
          <w:color w:val="525866"/>
          <w:sz w:val="22"/>
        </w:rPr>
        <w:t>” — directly supportive of LUV’s assertion that there is “absolutely no sign of pushback” on fare increases.</w:t>
      </w:r>
    </w:p>
    <w:p>
      <w:pPr>
        <w:pStyle w:val="ListBullet"/>
        <w:ind w:left="360" w:hanging="360"/>
      </w:pPr>
      <w:r>
        <w:rPr>
          <w:rFonts w:ascii="Calibri" w:hAnsi="Calibri"/>
          <w:color w:val="525866"/>
          <w:sz w:val="22"/>
        </w:rPr>
        <w:t xml:space="preserve">UAL expects both Q3 and Q4 RASM to grow </w:t>
      </w:r>
      <w:r>
        <w:rPr>
          <w:rFonts w:ascii="Calibri" w:hAnsi="Calibri"/>
          <w:b/>
          <w:color w:val="525866"/>
          <w:sz w:val="22"/>
        </w:rPr>
        <w:t>faster than Q2’s 12%</w:t>
      </w:r>
      <w:r>
        <w:rPr>
          <w:rFonts w:ascii="Calibri" w:hAnsi="Calibri"/>
          <w:color w:val="525866"/>
          <w:sz w:val="22"/>
        </w:rPr>
        <w:t xml:space="preserve"> — positive read-through for LUV’s Q3 outlook.</w:t>
      </w:r>
    </w:p>
    <w:p>
      <w:pPr>
        <w:pStyle w:val="ListBullet"/>
        <w:ind w:left="360" w:hanging="360"/>
      </w:pPr>
      <w:r>
        <w:rPr>
          <w:rFonts w:ascii="Calibri" w:hAnsi="Calibri"/>
          <w:color w:val="525866"/>
          <w:sz w:val="22"/>
        </w:rPr>
        <w:t xml:space="preserve">Critical fuel warning: </w:t>
      </w:r>
      <w:r>
        <w:rPr>
          <w:rFonts w:ascii="Calibri" w:hAnsi="Calibri"/>
          <w:b/>
          <w:color w:val="525866"/>
          <w:sz w:val="22"/>
        </w:rPr>
        <w:t>fuel has risen 15–20% since early July</w:t>
      </w:r>
      <w:r>
        <w:rPr>
          <w:rFonts w:ascii="Calibri" w:hAnsi="Calibri"/>
          <w:color w:val="525866"/>
          <w:sz w:val="22"/>
        </w:rPr>
        <w:t>, equal to $1.12 of EPS impact for UAL — this is the single biggest risk to LUV’s Q2 EPS print and full-year guide.</w:t>
      </w:r>
    </w:p>
    <w:p>
      <w:pPr>
        <w:pStyle w:val="ListBullet"/>
        <w:ind w:left="360" w:hanging="360"/>
      </w:pPr>
      <w:r>
        <w:rPr>
          <w:rFonts w:ascii="Calibri" w:hAnsi="Calibri"/>
          <w:color w:val="525866"/>
          <w:sz w:val="22"/>
        </w:rPr>
        <w:t xml:space="preserve">UAL tightened FY 2026 EPS guidance to $9–$11 (high end of prior range) — </w:t>
      </w:r>
      <w:r>
        <w:rPr>
          <w:rFonts w:ascii="Calibri" w:hAnsi="Calibri"/>
          <w:b/>
          <w:color w:val="525866"/>
          <w:sz w:val="22"/>
        </w:rPr>
        <w:t>positive signal that the industry’s revenue recapture is working</w:t>
      </w:r>
      <w:r>
        <w:rPr>
          <w:rFonts w:ascii="Calibri" w:hAnsi="Calibri"/>
          <w:color w:val="525866"/>
          <w:sz w:val="22"/>
        </w:rPr>
        <w:t>, even if fuel is elevated.</w:t>
      </w:r>
    </w:p>
    <w:p>
      <w:pPr>
        <w:pStyle w:val="ListBullet"/>
        <w:ind w:left="360" w:hanging="360"/>
      </w:pPr>
      <w:r>
        <w:rPr>
          <w:rFonts w:ascii="Calibri" w:hAnsi="Calibri"/>
          <w:color w:val="525866"/>
          <w:sz w:val="22"/>
        </w:rPr>
        <w:t xml:space="preserve">Kirby: “90% of the Q2 price increase was due to structural changes from cost increases” — </w:t>
      </w:r>
      <w:r>
        <w:rPr>
          <w:rFonts w:ascii="Calibri" w:hAnsi="Calibri"/>
          <w:b/>
          <w:color w:val="525866"/>
          <w:sz w:val="22"/>
        </w:rPr>
        <w:t>validates LUV’s thesis that fare increases are structural, not cyclical</w:t>
      </w:r>
      <w:r>
        <w:rPr>
          <w:rFonts w:ascii="Calibri" w:hAnsi="Calibri"/>
          <w:color w:val="525866"/>
          <w:sz w:val="22"/>
        </w:rPr>
        <w:t>, and will be retained even if fuel moderates.</w:t>
      </w:r>
    </w:p>
    <w:p>
      <w:pPr>
        <w:pStyle w:val="ListBullet"/>
        <w:ind w:left="360" w:hanging="360"/>
      </w:pPr>
      <w:r>
        <w:rPr>
          <w:rFonts w:ascii="Calibri" w:hAnsi="Calibri"/>
          <w:color w:val="525866"/>
          <w:sz w:val="22"/>
        </w:rPr>
        <w:t xml:space="preserve">Main cabin RASM turned positive for the second consecutive quarter — </w:t>
      </w:r>
      <w:r>
        <w:rPr>
          <w:rFonts w:ascii="Calibri" w:hAnsi="Calibri"/>
          <w:b/>
          <w:color w:val="525866"/>
          <w:sz w:val="22"/>
        </w:rPr>
        <w:t>directly relevant to LUV’s core product positioning</w:t>
      </w:r>
      <w:r>
        <w:rPr>
          <w:rFonts w:ascii="Calibri" w:hAnsi="Calibri"/>
          <w:color w:val="525866"/>
          <w:sz w:val="22"/>
        </w:rPr>
        <w:t xml:space="preserve"> as it transitions from a pure low-cost carrier to a value-premium hybrid.</w:t>
      </w:r>
    </w:p>
    <w:p>
      <w:pPr>
        <w:pStyle w:val="Heading3"/>
      </w:pPr>
      <w:r>
        <w:rPr>
          <w:rFonts w:ascii="Calibri" w:hAnsi="Calibri"/>
          <w:b/>
          <w:color w:val="3B4259"/>
          <w:sz w:val="24"/>
        </w:rPr>
        <w:t>Alaska Air Group (ALK) — Q2 2026 Earnings Release (July 21, 2026)</w:t>
      </w:r>
    </w:p>
    <w:p>
      <w:r>
        <w:rPr>
          <w:rFonts w:ascii="Calibri" w:hAnsi="Calibri"/>
          <w:b/>
          <w:color w:val="525866"/>
          <w:sz w:val="22"/>
        </w:rPr>
        <w:t xml:space="preserve">Read-Through: </w:t>
      </w:r>
      <w:r>
        <w:rPr>
          <w:rFonts w:ascii="Calibri" w:hAnsi="Calibri"/>
          <w:color w:val="525866"/>
          <w:sz w:val="22"/>
        </w:rPr>
        <w:t>Mixed — positive on demand ex-Hawaii; cautionary on fuel and the magnitude of the fuel headwind.</w:t>
      </w:r>
    </w:p>
    <w:p>
      <w:pPr>
        <w:pStyle w:val="ListBullet"/>
        <w:ind w:left="360" w:hanging="360"/>
      </w:pPr>
      <w:r>
        <w:rPr>
          <w:rFonts w:ascii="Calibri" w:hAnsi="Calibri"/>
          <w:color w:val="525866"/>
          <w:sz w:val="22"/>
        </w:rPr>
        <w:t xml:space="preserve">Total revenue +10% YoY to $4.1B on 1% capacity growth; </w:t>
      </w:r>
      <w:r>
        <w:rPr>
          <w:rFonts w:ascii="Calibri" w:hAnsi="Calibri"/>
          <w:b/>
          <w:color w:val="525866"/>
          <w:sz w:val="22"/>
        </w:rPr>
        <w:t>RASM +8.6% YoY</w:t>
      </w:r>
      <w:r>
        <w:rPr>
          <w:rFonts w:ascii="Calibri" w:hAnsi="Calibri"/>
          <w:color w:val="525866"/>
          <w:sz w:val="22"/>
        </w:rPr>
        <w:t xml:space="preserve"> (within prior guidance of “up high single digits”) — confirms demand is solid, though ALK’s RASM growth is well below LUV’s guided 16.5–18.5%, reflecting LUV’s transformation-driven yield uplift.</w:t>
      </w:r>
    </w:p>
    <w:p>
      <w:pPr>
        <w:pStyle w:val="ListBullet"/>
        <w:ind w:left="360" w:hanging="360"/>
      </w:pPr>
      <w:r>
        <w:rPr>
          <w:rFonts w:ascii="Calibri" w:hAnsi="Calibri"/>
          <w:color w:val="525866"/>
          <w:sz w:val="22"/>
        </w:rPr>
        <w:t xml:space="preserve">Managed corporate revenue </w:t>
      </w:r>
      <w:r>
        <w:rPr>
          <w:rFonts w:ascii="Calibri" w:hAnsi="Calibri"/>
          <w:b/>
          <w:color w:val="525866"/>
          <w:sz w:val="22"/>
        </w:rPr>
        <w:t>+30% YoY</w:t>
      </w:r>
      <w:r>
        <w:rPr>
          <w:rFonts w:ascii="Calibri" w:hAnsi="Calibri"/>
          <w:color w:val="525866"/>
          <w:sz w:val="22"/>
        </w:rPr>
        <w:t>; premium revenue +15%; loyalty remuneration +19% — broad-based demand strength across all revenue streams.</w:t>
      </w:r>
    </w:p>
    <w:p>
      <w:pPr>
        <w:pStyle w:val="ListBullet"/>
        <w:ind w:left="360" w:hanging="360"/>
      </w:pPr>
      <w:r>
        <w:rPr>
          <w:rFonts w:ascii="Calibri" w:hAnsi="Calibri"/>
          <w:color w:val="525866"/>
          <w:sz w:val="22"/>
        </w:rPr>
        <w:t xml:space="preserve">Hawaii headwind: historic rainstorms reduced system RASM by ~3 points in Q2 — </w:t>
      </w:r>
      <w:r>
        <w:rPr>
          <w:rFonts w:ascii="Calibri" w:hAnsi="Calibri"/>
          <w:b/>
          <w:color w:val="525866"/>
          <w:sz w:val="22"/>
        </w:rPr>
        <w:t>LUV also flagged Hawaii weakness in Q1</w:t>
      </w:r>
      <w:r>
        <w:rPr>
          <w:rFonts w:ascii="Calibri" w:hAnsi="Calibri"/>
          <w:color w:val="525866"/>
          <w:sz w:val="22"/>
        </w:rPr>
        <w:t>, so this is a known headwind that may have persisted into Q2 for LUV as well.</w:t>
      </w:r>
    </w:p>
    <w:p>
      <w:pPr>
        <w:pStyle w:val="ListBullet"/>
        <w:ind w:left="360" w:hanging="360"/>
      </w:pPr>
      <w:r>
        <w:rPr>
          <w:rFonts w:ascii="Calibri" w:hAnsi="Calibri"/>
          <w:color w:val="525866"/>
          <w:sz w:val="22"/>
        </w:rPr>
        <w:t xml:space="preserve">Fuel at </w:t>
      </w:r>
      <w:r>
        <w:rPr>
          <w:rFonts w:ascii="Calibri" w:hAnsi="Calibri"/>
          <w:b/>
          <w:color w:val="525866"/>
          <w:sz w:val="22"/>
        </w:rPr>
        <w:t>$4.43/gallon</w:t>
      </w:r>
      <w:r>
        <w:rPr>
          <w:rFonts w:ascii="Calibri" w:hAnsi="Calibri"/>
          <w:color w:val="525866"/>
          <w:sz w:val="22"/>
        </w:rPr>
        <w:t xml:space="preserve"> (vs. $2.39 in Q2 2025, +85% YoY), resulting in $600M of incremental fuel cost — </w:t>
      </w:r>
      <w:r>
        <w:rPr>
          <w:rFonts w:ascii="Calibri" w:hAnsi="Calibri"/>
          <w:b/>
          <w:color w:val="525866"/>
          <w:sz w:val="22"/>
        </w:rPr>
        <w:t>the most direct read-through for LUV’s fuel line</w:t>
      </w:r>
      <w:r>
        <w:rPr>
          <w:rFonts w:ascii="Calibri" w:hAnsi="Calibri"/>
          <w:color w:val="525866"/>
          <w:sz w:val="22"/>
        </w:rPr>
        <w:t>, as both carriers lack a refinery hedge. ALK’s $4.43 vs. LUV’s consensus of $4.12 suggests LUV’s fuel consensus may be too low.</w:t>
      </w:r>
    </w:p>
    <w:p>
      <w:pPr>
        <w:pStyle w:val="ListBullet"/>
        <w:ind w:left="360" w:hanging="360"/>
      </w:pPr>
      <w:r>
        <w:rPr>
          <w:rFonts w:ascii="Calibri" w:hAnsi="Calibri"/>
          <w:color w:val="525866"/>
          <w:sz w:val="22"/>
        </w:rPr>
        <w:t xml:space="preserve">CEO Minicucci: “Absent the fuel headwind, we would have delivered a solidly profitable quarter” — </w:t>
      </w:r>
      <w:r>
        <w:rPr>
          <w:rFonts w:ascii="Calibri" w:hAnsi="Calibri"/>
          <w:b/>
          <w:color w:val="525866"/>
          <w:sz w:val="22"/>
        </w:rPr>
        <w:t>the same dynamic applies to LUV</w:t>
      </w:r>
      <w:r>
        <w:rPr>
          <w:rFonts w:ascii="Calibri" w:hAnsi="Calibri"/>
          <w:color w:val="525866"/>
          <w:sz w:val="22"/>
        </w:rPr>
        <w:t>, where the transformation is working but fuel is the swing factor.</w:t>
      </w:r>
    </w:p>
    <w:p>
      <w:pPr>
        <w:pStyle w:val="ListBullet"/>
        <w:ind w:left="360" w:hanging="360"/>
      </w:pPr>
      <w:r>
        <w:rPr>
          <w:rFonts w:ascii="Calibri" w:hAnsi="Calibri"/>
          <w:color w:val="525866"/>
          <w:sz w:val="22"/>
        </w:rPr>
        <w:t>ALK expects “</w:t>
      </w:r>
      <w:r>
        <w:rPr>
          <w:rFonts w:ascii="Calibri" w:hAnsi="Calibri"/>
          <w:b/>
          <w:color w:val="525866"/>
          <w:sz w:val="22"/>
        </w:rPr>
        <w:t>meaningful inflection in financial performance beginning in Q3”</w:t>
      </w:r>
      <w:r>
        <w:rPr>
          <w:rFonts w:ascii="Calibri" w:hAnsi="Calibri"/>
          <w:color w:val="525866"/>
          <w:sz w:val="22"/>
        </w:rPr>
        <w:t xml:space="preserve"> as fuel moderates and transitory costs roll off — positive read-through for LUV’s H2 2026 outlook.</w:t>
      </w:r>
    </w:p>
    <w:p>
      <w:pPr>
        <w:pStyle w:val="ListBullet"/>
        <w:ind w:left="360" w:hanging="360"/>
      </w:pPr>
      <w:r>
        <w:rPr>
          <w:rFonts w:ascii="Calibri" w:hAnsi="Calibri"/>
          <w:color w:val="525866"/>
          <w:sz w:val="22"/>
        </w:rPr>
        <w:t xml:space="preserve">ALK raised $1B in financing during Q2 to bolster liquidity against fuel uncertainty — </w:t>
      </w:r>
      <w:r>
        <w:rPr>
          <w:rFonts w:ascii="Calibri" w:hAnsi="Calibri"/>
          <w:b/>
          <w:color w:val="525866"/>
          <w:sz w:val="22"/>
        </w:rPr>
        <w:t>LUV similarly expanded its term loan facility in May 2026</w:t>
      </w:r>
      <w:r>
        <w:rPr>
          <w:rFonts w:ascii="Calibri" w:hAnsi="Calibri"/>
          <w:color w:val="525866"/>
          <w:sz w:val="22"/>
        </w:rPr>
        <w:t>, suggesting both carriers are managing balance sheets conservatively in the current fuel environment.</w:t>
      </w:r>
    </w:p>
    <w:p>
      <w:pPr>
        <w:pStyle w:val="Heading3"/>
      </w:pPr>
      <w:r>
        <w:rPr>
          <w:rFonts w:ascii="Calibri" w:hAnsi="Calibri"/>
          <w:b/>
          <w:color w:val="3B4259"/>
          <w:sz w:val="24"/>
        </w:rPr>
        <w:t>American Airlines (AAL) — Bernstein Conference (May 27, 2026)</w:t>
      </w:r>
    </w:p>
    <w:p>
      <w:r>
        <w:rPr>
          <w:rFonts w:ascii="Calibri" w:hAnsi="Calibri"/>
          <w:b/>
          <w:color w:val="525866"/>
          <w:sz w:val="22"/>
        </w:rPr>
        <w:t xml:space="preserve">Read-Through: </w:t>
      </w:r>
      <w:r>
        <w:rPr>
          <w:rFonts w:ascii="Calibri" w:hAnsi="Calibri"/>
          <w:color w:val="525866"/>
          <w:sz w:val="22"/>
        </w:rPr>
        <w:t>Positive on demand and fare environment; confirms structural pricing shift.</w:t>
      </w:r>
    </w:p>
    <w:p>
      <w:pPr>
        <w:pStyle w:val="ListBullet"/>
        <w:ind w:left="360" w:hanging="360"/>
      </w:pPr>
      <w:r>
        <w:rPr>
          <w:rFonts w:ascii="Calibri" w:hAnsi="Calibri"/>
          <w:color w:val="525866"/>
          <w:sz w:val="22"/>
        </w:rPr>
        <w:t xml:space="preserve">AAL ~80% booked in Q2 with revenue expected +15% YoY on ~5% capacity growth (10% unit revenue growth) — </w:t>
      </w:r>
      <w:r>
        <w:rPr>
          <w:rFonts w:ascii="Calibri" w:hAnsi="Calibri"/>
          <w:b/>
          <w:color w:val="525866"/>
          <w:sz w:val="22"/>
        </w:rPr>
        <w:t>confirms the demand environment was strong through the booking window</w:t>
      </w:r>
      <w:r>
        <w:rPr>
          <w:rFonts w:ascii="Calibri" w:hAnsi="Calibri"/>
          <w:color w:val="525866"/>
          <w:sz w:val="22"/>
        </w:rPr>
        <w:t xml:space="preserve"> that would have been visible to LUV management when issuing Q2 guidance.</w:t>
      </w:r>
    </w:p>
    <w:p>
      <w:pPr>
        <w:pStyle w:val="ListBullet"/>
        <w:ind w:left="360" w:hanging="360"/>
      </w:pPr>
      <w:r>
        <w:rPr>
          <w:rFonts w:ascii="Calibri" w:hAnsi="Calibri"/>
          <w:color w:val="525866"/>
          <w:sz w:val="22"/>
        </w:rPr>
        <w:t xml:space="preserve">Managed corporate travel +13% YoY; premium leisure “incredibly well” — </w:t>
      </w:r>
      <w:r>
        <w:rPr>
          <w:rFonts w:ascii="Calibri" w:hAnsi="Calibri"/>
          <w:b/>
          <w:color w:val="525866"/>
          <w:sz w:val="22"/>
        </w:rPr>
        <w:t>broad-based demand across segments</w:t>
      </w:r>
      <w:r>
        <w:rPr>
          <w:rFonts w:ascii="Calibri" w:hAnsi="Calibri"/>
          <w:color w:val="525866"/>
          <w:sz w:val="22"/>
        </w:rPr>
        <w:t xml:space="preserve"> supports LUV’s assertion of no demand elasticity to higher fares.</w:t>
      </w:r>
    </w:p>
    <w:p>
      <w:pPr>
        <w:pStyle w:val="ListBullet"/>
        <w:ind w:left="360" w:hanging="360"/>
      </w:pPr>
      <w:r>
        <w:rPr>
          <w:rFonts w:ascii="Calibri" w:hAnsi="Calibri"/>
          <w:color w:val="525866"/>
          <w:sz w:val="22"/>
        </w:rPr>
        <w:t>Bag fees described as “</w:t>
      </w:r>
      <w:r>
        <w:rPr>
          <w:rFonts w:ascii="Calibri" w:hAnsi="Calibri"/>
          <w:b/>
          <w:color w:val="525866"/>
          <w:sz w:val="22"/>
        </w:rPr>
        <w:t>pretty sticky</w:t>
      </w:r>
      <w:r>
        <w:rPr>
          <w:rFonts w:ascii="Calibri" w:hAnsi="Calibri"/>
          <w:color w:val="525866"/>
          <w:sz w:val="22"/>
        </w:rPr>
        <w:t>” — directly relevant to LUV, which introduced bag fees in 2025 and raised them in Q1 2026.</w:t>
      </w:r>
    </w:p>
    <w:p>
      <w:pPr>
        <w:pStyle w:val="ListBullet"/>
        <w:ind w:left="360" w:hanging="360"/>
      </w:pPr>
      <w:r>
        <w:rPr>
          <w:rFonts w:ascii="Calibri" w:hAnsi="Calibri"/>
          <w:color w:val="525866"/>
          <w:sz w:val="22"/>
        </w:rPr>
        <w:t>Spirit’s liquidation “pulled some capacity out of the domestic market” with an “</w:t>
      </w:r>
      <w:r>
        <w:rPr>
          <w:rFonts w:ascii="Calibri" w:hAnsi="Calibri"/>
          <w:b/>
          <w:color w:val="525866"/>
          <w:sz w:val="22"/>
        </w:rPr>
        <w:t>immediate blip up in basic economy fare purchasing</w:t>
      </w:r>
      <w:r>
        <w:rPr>
          <w:rFonts w:ascii="Calibri" w:hAnsi="Calibri"/>
          <w:color w:val="525866"/>
          <w:sz w:val="22"/>
        </w:rPr>
        <w:t>” — structural tailwind for LUV’s base product pricing.</w:t>
      </w:r>
    </w:p>
    <w:p>
      <w:pPr>
        <w:pStyle w:val="ListBullet"/>
        <w:ind w:left="360" w:hanging="360"/>
      </w:pPr>
      <w:r>
        <w:rPr>
          <w:rFonts w:ascii="Calibri" w:hAnsi="Calibri"/>
          <w:color w:val="525866"/>
          <w:sz w:val="22"/>
        </w:rPr>
        <w:t xml:space="preserve">Fuel impact estimated at $4–$5B for the full year — </w:t>
      </w:r>
      <w:r>
        <w:rPr>
          <w:rFonts w:ascii="Calibri" w:hAnsi="Calibri"/>
          <w:b/>
          <w:color w:val="525866"/>
          <w:sz w:val="22"/>
        </w:rPr>
        <w:t>confirms the magnitude of the industry-wide fuel headwind</w:t>
      </w:r>
      <w:r>
        <w:rPr>
          <w:rFonts w:ascii="Calibri" w:hAnsi="Calibri"/>
          <w:color w:val="525866"/>
          <w:sz w:val="22"/>
        </w:rPr>
        <w:t xml:space="preserve"> that LUV is navigating.</w:t>
      </w:r>
    </w:p>
    <w:p>
      <w:pPr>
        <w:pStyle w:val="Heading3"/>
      </w:pPr>
      <w:r>
        <w:rPr>
          <w:rFonts w:ascii="Calibri" w:hAnsi="Calibri"/>
          <w:b/>
          <w:color w:val="3B4259"/>
          <w:sz w:val="24"/>
        </w:rPr>
        <w:t>United Airlines (UAL) — Bernstein Conference (May 27, 2026)</w:t>
      </w:r>
    </w:p>
    <w:p>
      <w:r>
        <w:rPr>
          <w:rFonts w:ascii="Calibri" w:hAnsi="Calibri"/>
          <w:b/>
          <w:color w:val="525866"/>
          <w:sz w:val="22"/>
        </w:rPr>
        <w:t xml:space="preserve">Read-Through: </w:t>
      </w:r>
      <w:r>
        <w:rPr>
          <w:rFonts w:ascii="Calibri" w:hAnsi="Calibri"/>
          <w:color w:val="525866"/>
          <w:sz w:val="22"/>
        </w:rPr>
        <w:t>Positive on structural industry change; confirms fare increases are sticking.</w:t>
      </w:r>
    </w:p>
    <w:p>
      <w:pPr>
        <w:pStyle w:val="ListBullet"/>
        <w:ind w:left="360" w:hanging="360"/>
      </w:pPr>
      <w:r>
        <w:rPr>
          <w:rFonts w:ascii="Calibri" w:hAnsi="Calibri"/>
          <w:color w:val="525866"/>
          <w:sz w:val="22"/>
        </w:rPr>
        <w:t>CEO Kirby: “</w:t>
      </w:r>
      <w:r>
        <w:rPr>
          <w:rFonts w:ascii="Calibri" w:hAnsi="Calibri"/>
          <w:b/>
          <w:color w:val="525866"/>
          <w:sz w:val="22"/>
        </w:rPr>
        <w:t>Unit revenue is fantastic right now</w:t>
      </w:r>
      <w:r>
        <w:rPr>
          <w:rFonts w:ascii="Calibri" w:hAnsi="Calibri"/>
          <w:color w:val="525866"/>
          <w:sz w:val="22"/>
        </w:rPr>
        <w:t>” and “fares are going up” — confirms the yield environment that LUV management described at its own Bernstein appearance.</w:t>
      </w:r>
    </w:p>
    <w:p>
      <w:pPr>
        <w:pStyle w:val="ListBullet"/>
        <w:ind w:left="360" w:hanging="360"/>
      </w:pPr>
      <w:r>
        <w:rPr>
          <w:rFonts w:ascii="Calibri" w:hAnsi="Calibri"/>
          <w:color w:val="525866"/>
          <w:sz w:val="22"/>
        </w:rPr>
        <w:t>Industry changes described as “</w:t>
      </w:r>
      <w:r>
        <w:rPr>
          <w:rFonts w:ascii="Calibri" w:hAnsi="Calibri"/>
          <w:b/>
          <w:color w:val="525866"/>
          <w:sz w:val="22"/>
        </w:rPr>
        <w:t>structural, permanent and irreversible</w:t>
      </w:r>
      <w:r>
        <w:rPr>
          <w:rFonts w:ascii="Calibri" w:hAnsi="Calibri"/>
          <w:color w:val="525866"/>
          <w:sz w:val="22"/>
        </w:rPr>
        <w:t>” — validates LUV’s transformation thesis that higher fares and premium products are durable, not cyclical.</w:t>
      </w:r>
    </w:p>
    <w:p>
      <w:pPr>
        <w:pStyle w:val="ListBullet"/>
        <w:ind w:left="360" w:hanging="360"/>
      </w:pPr>
      <w:r>
        <w:rPr>
          <w:rFonts w:ascii="Calibri" w:hAnsi="Calibri"/>
          <w:color w:val="525866"/>
          <w:sz w:val="22"/>
        </w:rPr>
        <w:t xml:space="preserve">Kirby noted Southwest as an example of a carrier achieving brand loyalty through schedule utility (“If you live in Nashville, you’re probably a Southwest frequent flyer because of the schedule”) — </w:t>
      </w:r>
      <w:r>
        <w:rPr>
          <w:rFonts w:ascii="Calibri" w:hAnsi="Calibri"/>
          <w:b/>
          <w:color w:val="525866"/>
          <w:sz w:val="22"/>
        </w:rPr>
        <w:t>acknowledges LUV’s existing loyalty base as a foundation for the transformation</w:t>
      </w:r>
      <w:r>
        <w:rPr>
          <w:rFonts w:ascii="Calibri" w:hAnsi="Calibri"/>
          <w:color w:val="525866"/>
          <w:sz w:val="22"/>
        </w:rPr>
        <w:t>.</w:t>
      </w:r>
    </w:p>
    <w:p>
      <w:pPr>
        <w:pStyle w:val="ListBullet"/>
        <w:ind w:left="360" w:hanging="360"/>
      </w:pPr>
      <w:r>
        <w:rPr>
          <w:rFonts w:ascii="Calibri" w:hAnsi="Calibri"/>
          <w:color w:val="525866"/>
          <w:sz w:val="22"/>
        </w:rPr>
        <w:t xml:space="preserve">Supply constrained globally by engine shortages (“800–900 aircraft grounded for engines”, “not getting fixed this decade”) — </w:t>
      </w:r>
      <w:r>
        <w:rPr>
          <w:rFonts w:ascii="Calibri" w:hAnsi="Calibri"/>
          <w:b/>
          <w:color w:val="525866"/>
          <w:sz w:val="22"/>
        </w:rPr>
        <w:t>structural capacity constraint supports pricing discipline</w:t>
      </w:r>
      <w:r>
        <w:rPr>
          <w:rFonts w:ascii="Calibri" w:hAnsi="Calibri"/>
          <w:color w:val="525866"/>
          <w:sz w:val="22"/>
        </w:rPr>
        <w:t xml:space="preserve"> across the industry, including for LUV.</w:t>
      </w:r>
    </w:p>
    <w:p>
      <w:pPr>
        <w:pStyle w:val="ListBullet"/>
        <w:ind w:left="360" w:hanging="360"/>
      </w:pPr>
      <w:r>
        <w:rPr>
          <w:rFonts w:ascii="Calibri" w:hAnsi="Calibri"/>
          <w:color w:val="525866"/>
          <w:sz w:val="22"/>
        </w:rPr>
        <w:t>ULCCs will become “</w:t>
      </w:r>
      <w:r>
        <w:rPr>
          <w:rFonts w:ascii="Calibri" w:hAnsi="Calibri"/>
          <w:b/>
          <w:color w:val="525866"/>
          <w:sz w:val="22"/>
        </w:rPr>
        <w:t>materially smaller</w:t>
      </w:r>
      <w:r>
        <w:rPr>
          <w:rFonts w:ascii="Calibri" w:hAnsi="Calibri"/>
          <w:color w:val="525866"/>
          <w:sz w:val="22"/>
        </w:rPr>
        <w:t xml:space="preserve">” as they retreat to profitable niches — </w:t>
      </w:r>
      <w:r>
        <w:rPr>
          <w:rFonts w:ascii="Calibri" w:hAnsi="Calibri"/>
          <w:b/>
          <w:color w:val="525866"/>
          <w:sz w:val="22"/>
        </w:rPr>
        <w:t>removes a key competitive pressure on LUV’s base product pricing</w:t>
      </w:r>
      <w:r>
        <w:rPr>
          <w:rFonts w:ascii="Calibri" w:hAnsi="Calibri"/>
          <w:color w:val="525866"/>
          <w:sz w:val="22"/>
        </w:rPr>
        <w:t xml:space="preserve"> in leisure markets.</w:t>
      </w:r>
    </w:p>
    <w:p>
      <w:pPr>
        <w:pStyle w:val="Heading3"/>
      </w:pPr>
      <w:r>
        <w:rPr>
          <w:rFonts w:ascii="Calibri" w:hAnsi="Calibri"/>
          <w:b/>
          <w:color w:val="3B4259"/>
          <w:sz w:val="24"/>
        </w:rPr>
        <w:t>Alaska Air Group (ALK) — TD Cowen Conference (June 3, 2026)</w:t>
      </w:r>
    </w:p>
    <w:p>
      <w:r>
        <w:rPr>
          <w:rFonts w:ascii="Calibri" w:hAnsi="Calibri"/>
          <w:b/>
          <w:color w:val="525866"/>
          <w:sz w:val="22"/>
        </w:rPr>
        <w:t xml:space="preserve">Read-Through: </w:t>
      </w:r>
      <w:r>
        <w:rPr>
          <w:rFonts w:ascii="Calibri" w:hAnsi="Calibri"/>
          <w:color w:val="525866"/>
          <w:sz w:val="22"/>
        </w:rPr>
        <w:t>Positive on demand trajectory and corporate travel; fuel moderating from highs.</w:t>
      </w:r>
    </w:p>
    <w:p>
      <w:pPr>
        <w:pStyle w:val="ListBullet"/>
        <w:ind w:left="360" w:hanging="360"/>
      </w:pPr>
      <w:r>
        <w:rPr>
          <w:rFonts w:ascii="Calibri" w:hAnsi="Calibri"/>
          <w:color w:val="525866"/>
          <w:sz w:val="22"/>
        </w:rPr>
        <w:t xml:space="preserve">CFO Tackett: Q2 tracking “pretty much in line” with encouraging unit revenue outlook — </w:t>
      </w:r>
      <w:r>
        <w:rPr>
          <w:rFonts w:ascii="Calibri" w:hAnsi="Calibri"/>
          <w:b/>
          <w:color w:val="525866"/>
          <w:sz w:val="22"/>
        </w:rPr>
        <w:t>confirms demand trends were intact through early June</w:t>
      </w:r>
      <w:r>
        <w:rPr>
          <w:rFonts w:ascii="Calibri" w:hAnsi="Calibri"/>
          <w:color w:val="525866"/>
          <w:sz w:val="22"/>
        </w:rPr>
        <w:t>, the period when LUV’s Q2 bookings were being finalized.</w:t>
      </w:r>
    </w:p>
    <w:p>
      <w:pPr>
        <w:pStyle w:val="ListBullet"/>
        <w:ind w:left="360" w:hanging="360"/>
      </w:pPr>
      <w:r>
        <w:rPr>
          <w:rFonts w:ascii="Calibri" w:hAnsi="Calibri"/>
          <w:color w:val="525866"/>
          <w:sz w:val="22"/>
        </w:rPr>
        <w:t xml:space="preserve">Corporate travel advances for the next 90 days </w:t>
      </w:r>
      <w:r>
        <w:rPr>
          <w:rFonts w:ascii="Calibri" w:hAnsi="Calibri"/>
          <w:b/>
          <w:color w:val="525866"/>
          <w:sz w:val="22"/>
        </w:rPr>
        <w:t>+25–30% YoY</w:t>
      </w:r>
      <w:r>
        <w:rPr>
          <w:rFonts w:ascii="Calibri" w:hAnsi="Calibri"/>
          <w:color w:val="525866"/>
          <w:sz w:val="22"/>
        </w:rPr>
        <w:t xml:space="preserve"> — strongest forward corporate demand signal in the dataset, directly positive for LUV’s managed corporate revenue trajectory.</w:t>
      </w:r>
    </w:p>
    <w:p>
      <w:pPr>
        <w:pStyle w:val="ListBullet"/>
        <w:ind w:left="360" w:hanging="360"/>
      </w:pPr>
      <w:r>
        <w:rPr>
          <w:rFonts w:ascii="Calibri" w:hAnsi="Calibri"/>
          <w:color w:val="525866"/>
          <w:sz w:val="22"/>
        </w:rPr>
        <w:t xml:space="preserve">Fuel spot prices at “sub $3.80” as of early June, down from highs of $5 — </w:t>
      </w:r>
      <w:r>
        <w:rPr>
          <w:rFonts w:ascii="Calibri" w:hAnsi="Calibri"/>
          <w:b/>
          <w:color w:val="525866"/>
          <w:sz w:val="22"/>
        </w:rPr>
        <w:t>suggests fuel may have been moderating mid-quarter</w:t>
      </w:r>
      <w:r>
        <w:rPr>
          <w:rFonts w:ascii="Calibri" w:hAnsi="Calibri"/>
          <w:color w:val="525866"/>
          <w:sz w:val="22"/>
        </w:rPr>
        <w:t>, which could be a positive for LUV’s Q2 realized fuel cost vs. the $4.10–$4.15 guidance (though ALK’s actual Q2 fuel of $4.43 suggests the moderation came too late to help Q2 materially).</w:t>
      </w:r>
    </w:p>
    <w:p>
      <w:pPr>
        <w:pStyle w:val="ListBullet"/>
        <w:ind w:left="360" w:hanging="360"/>
      </w:pPr>
      <w:r>
        <w:rPr>
          <w:rFonts w:ascii="Calibri" w:hAnsi="Calibri"/>
          <w:color w:val="525866"/>
          <w:sz w:val="22"/>
        </w:rPr>
        <w:t xml:space="preserve">Premium revenue growing from 27% pre-COVID to ~36% of total — </w:t>
      </w:r>
      <w:r>
        <w:rPr>
          <w:rFonts w:ascii="Calibri" w:hAnsi="Calibri"/>
          <w:b/>
          <w:color w:val="525866"/>
          <w:sz w:val="22"/>
        </w:rPr>
        <w:t>industry-wide shift toward premium validates LUV’s assigned seating and extra legroom strategy</w:t>
      </w:r>
      <w:r>
        <w:rPr>
          <w:rFonts w:ascii="Calibri" w:hAnsi="Calibri"/>
          <w:color w:val="525866"/>
          <w:sz w:val="22"/>
        </w:rPr>
        <w:t>.</w:t>
      </w:r>
    </w:p>
    <w:p>
      <w:pPr>
        <w:pStyle w:val="ListBullet"/>
        <w:ind w:left="360" w:hanging="360"/>
      </w:pPr>
      <w:r>
        <w:rPr>
          <w:rFonts w:ascii="Calibri" w:hAnsi="Calibri"/>
          <w:color w:val="525866"/>
          <w:sz w:val="22"/>
        </w:rPr>
        <w:t>Consumer move toward premium experiences described as “</w:t>
      </w:r>
      <w:r>
        <w:rPr>
          <w:rFonts w:ascii="Calibri" w:hAnsi="Calibri"/>
          <w:b/>
          <w:color w:val="525866"/>
          <w:sz w:val="22"/>
        </w:rPr>
        <w:t>very broad and durable and long-term</w:t>
      </w:r>
      <w:r>
        <w:rPr>
          <w:rFonts w:ascii="Calibri" w:hAnsi="Calibri"/>
          <w:color w:val="525866"/>
          <w:sz w:val="22"/>
        </w:rPr>
        <w:t>” — supports LUV’s multi-year product roadmap including lounges, first class, and long-haul international.</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industry-wide fuel spike</w:t>
      </w:r>
      <w:r>
        <w:rPr>
          <w:rFonts w:ascii="Calibri" w:hAnsi="Calibri"/>
          <w:color w:val="525866"/>
          <w:sz w:val="22"/>
        </w:rPr>
        <w:t xml:space="preserve"> — up 15–20% since early July per UAL — which is the primary risk to LUV’s Q2 EPS print and full-year $4 guide. On the positive side, </w:t>
      </w:r>
      <w:r>
        <w:rPr>
          <w:rFonts w:ascii="Calibri" w:hAnsi="Calibri"/>
          <w:b/>
          <w:color w:val="525866"/>
          <w:sz w:val="22"/>
        </w:rPr>
        <w:t>seven consecutive fare increases have stuck</w:t>
      </w:r>
      <w:r>
        <w:rPr>
          <w:rFonts w:ascii="Calibri" w:hAnsi="Calibri"/>
          <w:color w:val="525866"/>
          <w:sz w:val="22"/>
        </w:rPr>
        <w:t xml:space="preserve"> and the transformation is delivering accelerating RASM growth.</w:t>
      </w:r>
    </w:p>
    <w:p>
      <w:pPr>
        <w:pStyle w:val="ListBullet"/>
        <w:ind w:left="360" w:hanging="360"/>
      </w:pPr>
      <w:r>
        <w:rPr>
          <w:rFonts w:ascii="Calibri" w:hAnsi="Calibri"/>
          <w:b/>
          <w:color w:val="525866"/>
          <w:sz w:val="22"/>
        </w:rPr>
        <w:t>July 13, 2026 — LUV announces Q2 2026 earnings call for July 23, 2026.</w:t>
      </w:r>
      <w:r>
        <w:rPr>
          <w:rFonts w:ascii="Calibri" w:hAnsi="Calibri"/>
          <w:color w:val="525866"/>
          <w:sz w:val="22"/>
        </w:rPr>
        <w:t xml:space="preserve"> Confirms reporting date. No pre-announcement or guidance update issued alongside, suggesting no material negative surprise requiring early disclosure.</w:t>
      </w:r>
    </w:p>
    <w:p>
      <w:pPr>
        <w:pStyle w:val="ListBullet"/>
        <w:ind w:left="360" w:hanging="360"/>
      </w:pPr>
      <w:r>
        <w:rPr>
          <w:rFonts w:ascii="Calibri" w:hAnsi="Calibri"/>
          <w:b/>
          <w:color w:val="525866"/>
          <w:sz w:val="22"/>
        </w:rPr>
        <w:t>July 10–21, 2026 — Peer Q2 2026 earnings: DAL (July 10) and UAL (July 16) both reported strong results.</w:t>
      </w:r>
      <w:r>
        <w:rPr>
          <w:rFonts w:ascii="Calibri" w:hAnsi="Calibri"/>
          <w:color w:val="525866"/>
          <w:sz w:val="22"/>
        </w:rPr>
        <w:t xml:space="preserve"> DAL: record revenue +14%, RASM +12.4%, EPS $1.56 (above guidance). UAL: revenue +16%, RASM +12.1%, EPS $1.99 (high end of guidance). ALK (July 21): RASM +8.6%, but EPS loss of ($0.92) driven by fuel at $4.43/gallon. </w:t>
      </w:r>
      <w:r>
        <w:rPr>
          <w:rFonts w:ascii="Calibri" w:hAnsi="Calibri"/>
          <w:b/>
          <w:color w:val="525866"/>
          <w:sz w:val="22"/>
        </w:rPr>
        <w:t>Implication:</w:t>
      </w:r>
      <w:r>
        <w:rPr>
          <w:rFonts w:ascii="Calibri" w:hAnsi="Calibri"/>
          <w:color w:val="525866"/>
          <w:sz w:val="22"/>
        </w:rPr>
        <w:t xml:space="preserve"> Strong RASM read-through for LUV; fuel at $4.43 for ALK (no refinery) is the most direct fuel proxy for LUV and suggests LUV’s $4.12 consensus fuel estimate may be too low.</w:t>
      </w:r>
    </w:p>
    <w:p>
      <w:pPr>
        <w:pStyle w:val="ListBullet"/>
        <w:ind w:left="360" w:hanging="360"/>
      </w:pPr>
      <w:r>
        <w:rPr>
          <w:rFonts w:ascii="Calibri" w:hAnsi="Calibri"/>
          <w:b/>
          <w:color w:val="525866"/>
          <w:sz w:val="22"/>
        </w:rPr>
        <w:t>July 2026 — Fuel spike: UAL flagged fuel has risen 15–20% since early July.</w:t>
      </w:r>
      <w:r>
        <w:rPr>
          <w:rFonts w:ascii="Calibri" w:hAnsi="Calibri"/>
          <w:color w:val="525866"/>
          <w:sz w:val="22"/>
        </w:rPr>
        <w:t xml:space="preserve"> This is the single biggest risk to LUV’s Q2 EPS print. LUV’s Q2 guidance was based on the April 16 forward curve at $4.10–$4.15/gallon. </w:t>
      </w:r>
      <w:r>
        <w:rPr>
          <w:rFonts w:ascii="Calibri" w:hAnsi="Calibri"/>
          <w:b/>
          <w:color w:val="525866"/>
          <w:sz w:val="22"/>
        </w:rPr>
        <w:t>Implication:</w:t>
      </w:r>
      <w:r>
        <w:rPr>
          <w:rFonts w:ascii="Calibri" w:hAnsi="Calibri"/>
          <w:color w:val="525866"/>
          <w:sz w:val="22"/>
        </w:rPr>
        <w:t xml:space="preserve"> If fuel averaged materially above $4.15 in Q2, EPS could come in at or below the low end of the $0.35–$0.65 guidance range.</w:t>
      </w:r>
    </w:p>
    <w:p>
      <w:pPr>
        <w:pStyle w:val="ListBullet"/>
        <w:ind w:left="360" w:hanging="360"/>
      </w:pPr>
      <w:r>
        <w:rPr>
          <w:rFonts w:ascii="Calibri" w:hAnsi="Calibri"/>
          <w:b/>
          <w:color w:val="525866"/>
          <w:sz w:val="22"/>
        </w:rPr>
        <w:t>May 28, 2026 — LUV presents at Bernstein Strategic Decisions Conference.</w:t>
      </w:r>
      <w:r>
        <w:rPr>
          <w:rFonts w:ascii="Calibri" w:hAnsi="Calibri"/>
          <w:color w:val="525866"/>
          <w:sz w:val="22"/>
        </w:rPr>
        <w:t xml:space="preserve"> Management confirmed seven consecutive broad fare increases since February 1 (the most in CEO Jordan’s 38-year career), all of which stuck. Confirmed current yield levels do not yet fully cover current fuel prices, meaning further increases are still needed. Expressed growing confidence that revenues will ultimately cover fuel. </w:t>
      </w:r>
      <w:r>
        <w:rPr>
          <w:rFonts w:ascii="Calibri" w:hAnsi="Calibri"/>
          <w:b/>
          <w:color w:val="525866"/>
          <w:sz w:val="22"/>
        </w:rPr>
        <w:t>Implication:</w:t>
      </w:r>
      <w:r>
        <w:rPr>
          <w:rFonts w:ascii="Calibri" w:hAnsi="Calibri"/>
          <w:color w:val="525866"/>
          <w:sz w:val="22"/>
        </w:rPr>
        <w:t xml:space="preserve"> Tone was constructive on revenue but acknowledged the fuel gap, consistent with the wide Q2 EPS guidance range.</w:t>
      </w:r>
    </w:p>
    <w:p>
      <w:pPr>
        <w:pStyle w:val="ListBullet"/>
        <w:ind w:left="360" w:hanging="360"/>
      </w:pPr>
      <w:r>
        <w:rPr>
          <w:rFonts w:ascii="Calibri" w:hAnsi="Calibri"/>
          <w:b/>
          <w:color w:val="525866"/>
          <w:sz w:val="22"/>
        </w:rPr>
        <w:t>May 2026 — LUV expands secured term loan facility.</w:t>
      </w:r>
      <w:r>
        <w:rPr>
          <w:rFonts w:ascii="Calibri" w:hAnsi="Calibri"/>
          <w:color w:val="525866"/>
          <w:sz w:val="22"/>
        </w:rPr>
        <w:t xml:space="preserve"> Southwest added incremental term loans to its March 2026 $500M facility, bringing total outstanding term loans to approximately $1.5B, with an uncommitted incremental feature for further borrowing. </w:t>
      </w:r>
      <w:r>
        <w:rPr>
          <w:rFonts w:ascii="Calibri" w:hAnsi="Calibri"/>
          <w:b/>
          <w:color w:val="525866"/>
          <w:sz w:val="22"/>
        </w:rPr>
        <w:t>Implication:</w:t>
      </w:r>
      <w:r>
        <w:rPr>
          <w:rFonts w:ascii="Calibri" w:hAnsi="Calibri"/>
          <w:color w:val="525866"/>
          <w:sz w:val="22"/>
        </w:rPr>
        <w:t xml:space="preserve"> Proactive balance sheet management in a volatile fuel environment; maintains investment-grade posture and liquidity above target.</w:t>
      </w:r>
    </w:p>
    <w:p>
      <w:pPr>
        <w:pStyle w:val="ListBullet"/>
        <w:ind w:left="360" w:hanging="360"/>
      </w:pPr>
      <w:r>
        <w:rPr>
          <w:rFonts w:ascii="Calibri" w:hAnsi="Calibri"/>
          <w:b/>
          <w:color w:val="525866"/>
          <w:sz w:val="22"/>
        </w:rPr>
        <w:t>May 11, 2026 — Southwest shareholders approve all annual meeting proposals.</w:t>
      </w:r>
      <w:r>
        <w:rPr>
          <w:rFonts w:ascii="Calibri" w:hAnsi="Calibri"/>
          <w:color w:val="525866"/>
          <w:sz w:val="22"/>
        </w:rPr>
        <w:t xml:space="preserve"> No contested votes or governance surprises. Board composition stable following the February 2026 resignations of directors Cush and Saretsky.</w:t>
      </w:r>
    </w:p>
    <w:p>
      <w:pPr>
        <w:pStyle w:val="ListBullet"/>
        <w:ind w:left="360" w:hanging="360"/>
      </w:pPr>
      <w:r>
        <w:rPr>
          <w:rFonts w:ascii="Calibri" w:hAnsi="Calibri"/>
          <w:b/>
          <w:color w:val="525866"/>
          <w:sz w:val="22"/>
        </w:rPr>
        <w:t>April 2026 — LUV launches Caribbean service (St. Maarten and St. Thomas from Orlando and Baltimore/Washington).</w:t>
      </w:r>
      <w:r>
        <w:rPr>
          <w:rFonts w:ascii="Calibri" w:hAnsi="Calibri"/>
          <w:color w:val="525866"/>
          <w:sz w:val="22"/>
        </w:rPr>
        <w:t xml:space="preserve"> Most significant international expansion in recent years. </w:t>
      </w:r>
      <w:r>
        <w:rPr>
          <w:rFonts w:ascii="Calibri" w:hAnsi="Calibri"/>
          <w:b/>
          <w:color w:val="525866"/>
          <w:sz w:val="22"/>
        </w:rPr>
        <w:t>Implication:</w:t>
      </w:r>
      <w:r>
        <w:rPr>
          <w:rFonts w:ascii="Calibri" w:hAnsi="Calibri"/>
          <w:color w:val="525866"/>
          <w:sz w:val="22"/>
        </w:rPr>
        <w:t xml:space="preserve"> Incremental revenue opportunity and brand extension; validates the long-haul international roadmap management has outlined.</w:t>
      </w:r>
    </w:p>
    <w:p>
      <w:pPr>
        <w:pStyle w:val="ListBullet"/>
        <w:ind w:left="360" w:hanging="360"/>
      </w:pPr>
      <w:r>
        <w:rPr>
          <w:rFonts w:ascii="Calibri" w:hAnsi="Calibri"/>
          <w:b/>
          <w:color w:val="525866"/>
          <w:sz w:val="22"/>
        </w:rPr>
        <w:t>April 22–23, 2026 — Q1 2026 earnings: RASM beat, CASM-X beat, EPS in line, fuel miss.</w:t>
      </w:r>
      <w:r>
        <w:rPr>
          <w:rFonts w:ascii="Calibri" w:hAnsi="Calibri"/>
          <w:color w:val="525866"/>
          <w:sz w:val="22"/>
        </w:rPr>
        <w:t xml:space="preserve"> Stock declined ~4% on the day of the call despite operational outperformance, reflecting investor concern over fuel and the wide Q2 guidance range. </w:t>
      </w:r>
      <w:r>
        <w:rPr>
          <w:rFonts w:ascii="Calibri" w:hAnsi="Calibri"/>
          <w:b/>
          <w:color w:val="525866"/>
          <w:sz w:val="22"/>
        </w:rPr>
        <w:t>Implication:</w:t>
      </w:r>
      <w:r>
        <w:rPr>
          <w:rFonts w:ascii="Calibri" w:hAnsi="Calibri"/>
          <w:color w:val="525866"/>
          <w:sz w:val="22"/>
        </w:rPr>
        <w:t xml:space="preserve"> The market’s reaction set a low bar for sentiment; any clean Q2 print with fuel in line or below guidance could drive a positive re-rating.</w:t>
      </w:r>
    </w:p>
    <w:p>
      <w:pPr>
        <w:pStyle w:val="ListBullet"/>
        <w:ind w:left="360" w:hanging="360"/>
      </w:pPr>
      <w:r>
        <w:rPr>
          <w:rFonts w:ascii="Calibri" w:hAnsi="Calibri"/>
          <w:b/>
          <w:color w:val="525866"/>
          <w:sz w:val="22"/>
        </w:rPr>
        <w:t>Analyst rating changes (post-Q1 earnings): HSBC upgraded LUV from Reduce to Hold, raising PT to $36.10 (April 24, 2026).</w:t>
      </w:r>
      <w:r>
        <w:rPr>
          <w:rFonts w:ascii="Calibri" w:hAnsi="Calibri"/>
          <w:color w:val="525866"/>
          <w:sz w:val="22"/>
        </w:rPr>
        <w:t xml:space="preserve"> Morgan Stanley boosted PT to $60+ (Overweight); Susquehanna raised PT to $55 (Neutral). Current consensus: Hold (9 Buy, 9 Hold, 4 Sell), average PT ~$49.58. </w:t>
      </w:r>
      <w:r>
        <w:rPr>
          <w:rFonts w:ascii="Calibri" w:hAnsi="Calibri"/>
          <w:b/>
          <w:color w:val="525866"/>
          <w:sz w:val="22"/>
        </w:rPr>
        <w:t>Implication:</w:t>
      </w:r>
      <w:r>
        <w:rPr>
          <w:rFonts w:ascii="Calibri" w:hAnsi="Calibri"/>
          <w:color w:val="525866"/>
          <w:sz w:val="22"/>
        </w:rPr>
        <w:t xml:space="preserve"> Analyst community is broadly constructive but not uniformly bullish; the stock has already moved through many price targets, leaving less upside cushion.</w:t>
      </w:r>
    </w:p>
    <w:p>
      <w:pPr>
        <w:pStyle w:val="ListBullet"/>
        <w:ind w:left="360" w:hanging="360"/>
      </w:pPr>
      <w:r>
        <w:rPr>
          <w:rFonts w:ascii="Calibri" w:hAnsi="Calibri"/>
          <w:b/>
          <w:color w:val="525866"/>
          <w:sz w:val="22"/>
        </w:rPr>
        <w:t>Ongoing — Starlink in-flight connectivity rollout.</w:t>
      </w:r>
      <w:r>
        <w:rPr>
          <w:rFonts w:ascii="Calibri" w:hAnsi="Calibri"/>
          <w:color w:val="525866"/>
          <w:sz w:val="22"/>
        </w:rPr>
        <w:t xml:space="preserve"> Significant portion of fleet expected to be equipped by year-end 2026. UAL confirmed at Bernstein that “Southwest is going to get there, too.” </w:t>
      </w:r>
      <w:r>
        <w:rPr>
          <w:rFonts w:ascii="Calibri" w:hAnsi="Calibri"/>
          <w:b/>
          <w:color w:val="525866"/>
          <w:sz w:val="22"/>
        </w:rPr>
        <w:t>Implication:</w:t>
      </w:r>
      <w:r>
        <w:rPr>
          <w:rFonts w:ascii="Calibri" w:hAnsi="Calibri"/>
          <w:color w:val="525866"/>
          <w:sz w:val="22"/>
        </w:rPr>
        <w:t xml:space="preserve"> Addresses one of the top two reasons customers choose competitors over LUV (per management); positive for customer satisfaction and loyalty metrics.</w:t>
      </w:r>
    </w:p>
    <w:p>
      <w:pPr>
        <w:pStyle w:val="ListBullet"/>
        <w:ind w:left="360" w:hanging="360"/>
      </w:pPr>
      <w:r>
        <w:rPr>
          <w:rFonts w:ascii="Calibri" w:hAnsi="Calibri"/>
          <w:b/>
          <w:color w:val="525866"/>
          <w:sz w:val="22"/>
        </w:rPr>
        <w:t>Ongoing — Lounge network development.</w:t>
      </w:r>
      <w:r>
        <w:rPr>
          <w:rFonts w:ascii="Calibri" w:hAnsi="Calibri"/>
          <w:color w:val="525866"/>
          <w:sz w:val="22"/>
        </w:rPr>
        <w:t xml:space="preserve"> Space being leased in Honolulu, Nashville, Denver, Austin, and Dallas Love Field. </w:t>
      </w:r>
      <w:r>
        <w:rPr>
          <w:rFonts w:ascii="Calibri" w:hAnsi="Calibri"/>
          <w:b/>
          <w:color w:val="525866"/>
          <w:sz w:val="22"/>
        </w:rPr>
        <w:t>Implication:</w:t>
      </w:r>
      <w:r>
        <w:rPr>
          <w:rFonts w:ascii="Calibri" w:hAnsi="Calibri"/>
          <w:color w:val="525866"/>
          <w:sz w:val="22"/>
        </w:rPr>
        <w:t xml:space="preserve"> Next major phase of product transformation; addresses the second top reason customers choose competitors. Not yet generating revenue but signals long-term premium positioning.</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or directors since the Q1 2026 earnings print. All transactions in the window are </w:t>
      </w:r>
      <w:r>
        <w:rPr>
          <w:rFonts w:ascii="Calibri" w:hAnsi="Calibri"/>
          <w:b/>
          <w:color w:val="525866"/>
          <w:sz w:val="22"/>
        </w:rPr>
        <w:t>routine director equity awards (Form 4, Code A)</w:t>
      </w:r>
      <w:r>
        <w:rPr>
          <w:rFonts w:ascii="Calibri" w:hAnsi="Calibri"/>
          <w:color w:val="525866"/>
          <w:sz w:val="22"/>
        </w:rPr>
        <w:t xml:space="preserve"> — standard annual compensation grants, not market-signal transactions. The absence of any open-market buying or selling by senior management is neutral; no insider is making a directional bet ahead of the Q2 print.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Lisa M. Atherton</w:t>
            </w:r>
          </w:p>
        </w:tc>
        <w:tc>
          <w:tcPr>
            <w:tcW w:type="dxa" w:w="1234"/>
          </w:tcPr>
          <w:p>
            <w:r>
              <w:rPr>
                <w:rFonts w:ascii="Calibri" w:hAnsi="Calibri"/>
                <w:sz w:val="22"/>
              </w:rPr>
              <w:t>Director</w:t>
            </w:r>
          </w:p>
        </w:tc>
        <w:tc>
          <w:tcPr>
            <w:tcW w:type="dxa" w:w="1234"/>
          </w:tcPr>
          <w:p>
            <w:r>
              <w:rPr>
                <w:rFonts w:ascii="Calibri" w:hAnsi="Calibri"/>
                <w:sz w:val="22"/>
              </w:rPr>
              <w:t>Equity Award (Code A)</w:t>
            </w:r>
          </w:p>
        </w:tc>
        <w:tc>
          <w:tcPr>
            <w:tcW w:type="dxa" w:w="1234"/>
          </w:tcPr>
          <w:p>
            <w:r>
              <w:rPr>
                <w:rFonts w:ascii="Calibri" w:hAnsi="Calibri"/>
                <w:sz w:val="22"/>
              </w:rPr>
              <w:t>4,108</w:t>
            </w:r>
          </w:p>
        </w:tc>
        <w:tc>
          <w:tcPr>
            <w:tcW w:type="dxa" w:w="1234"/>
          </w:tcPr>
          <w:p>
            <w:r>
              <w:rPr>
                <w:rFonts w:ascii="Calibri" w:hAnsi="Calibri"/>
                <w:sz w:val="22"/>
              </w:rPr>
              <w:t>May 7, 2026</w:t>
            </w:r>
          </w:p>
        </w:tc>
        <w:tc>
          <w:tcPr>
            <w:tcW w:type="dxa" w:w="1234"/>
          </w:tcPr>
          <w:p>
            <w:r>
              <w:rPr>
                <w:rFonts w:ascii="Calibri" w:hAnsi="Calibri"/>
                <w:sz w:val="22"/>
              </w:rPr>
              <w:t>May 11, 2026</w:t>
            </w:r>
          </w:p>
        </w:tc>
        <w:tc>
          <w:tcPr>
            <w:tcW w:type="dxa" w:w="1234"/>
          </w:tcPr>
          <w:p>
            <w:r>
              <w:rPr>
                <w:rFonts w:ascii="Calibri" w:hAnsi="Calibri"/>
                <w:sz w:val="22"/>
              </w:rPr>
              <w:t>Routine annual director equity grant; not an open-market purchase.</w:t>
            </w:r>
          </w:p>
        </w:tc>
      </w:tr>
      <w:tr>
        <w:tc>
          <w:tcPr>
            <w:tcW w:type="dxa" w:w="1234"/>
          </w:tcPr>
          <w:p>
            <w:r>
              <w:rPr>
                <w:rFonts w:ascii="Calibri" w:hAnsi="Calibri"/>
                <w:sz w:val="22"/>
              </w:rPr>
              <w:t>Pierre R. Breber</w:t>
            </w:r>
          </w:p>
        </w:tc>
        <w:tc>
          <w:tcPr>
            <w:tcW w:type="dxa" w:w="1234"/>
          </w:tcPr>
          <w:p>
            <w:r>
              <w:rPr>
                <w:rFonts w:ascii="Calibri" w:hAnsi="Calibri"/>
                <w:sz w:val="22"/>
              </w:rPr>
              <w:t>Director</w:t>
            </w:r>
          </w:p>
        </w:tc>
        <w:tc>
          <w:tcPr>
            <w:tcW w:type="dxa" w:w="1234"/>
          </w:tcPr>
          <w:p>
            <w:r>
              <w:rPr>
                <w:rFonts w:ascii="Calibri" w:hAnsi="Calibri"/>
                <w:sz w:val="22"/>
              </w:rPr>
              <w:t>Equity Award (Code A)</w:t>
            </w:r>
          </w:p>
        </w:tc>
        <w:tc>
          <w:tcPr>
            <w:tcW w:type="dxa" w:w="1234"/>
          </w:tcPr>
          <w:p>
            <w:r>
              <w:rPr>
                <w:rFonts w:ascii="Calibri" w:hAnsi="Calibri"/>
                <w:sz w:val="22"/>
              </w:rPr>
              <w:t>4,108</w:t>
            </w:r>
          </w:p>
        </w:tc>
        <w:tc>
          <w:tcPr>
            <w:tcW w:type="dxa" w:w="1234"/>
          </w:tcPr>
          <w:p>
            <w:r>
              <w:rPr>
                <w:rFonts w:ascii="Calibri" w:hAnsi="Calibri"/>
                <w:sz w:val="22"/>
              </w:rPr>
              <w:t>May 7, 2026</w:t>
            </w:r>
          </w:p>
        </w:tc>
        <w:tc>
          <w:tcPr>
            <w:tcW w:type="dxa" w:w="1234"/>
          </w:tcPr>
          <w:p>
            <w:r>
              <w:rPr>
                <w:rFonts w:ascii="Calibri" w:hAnsi="Calibri"/>
                <w:sz w:val="22"/>
              </w:rPr>
              <w:t>May 11, 2026</w:t>
            </w:r>
          </w:p>
        </w:tc>
        <w:tc>
          <w:tcPr>
            <w:tcW w:type="dxa" w:w="1234"/>
          </w:tcPr>
          <w:p>
            <w:r>
              <w:rPr>
                <w:rFonts w:ascii="Calibri" w:hAnsi="Calibri"/>
                <w:sz w:val="22"/>
              </w:rPr>
              <w:t>Routine annual director equity grant; not an open-market purchase.</w:t>
            </w:r>
          </w:p>
        </w:tc>
      </w:tr>
      <w:tr>
        <w:tc>
          <w:tcPr>
            <w:tcW w:type="dxa" w:w="1234"/>
          </w:tcPr>
          <w:p>
            <w:r>
              <w:rPr>
                <w:rFonts w:ascii="Calibri" w:hAnsi="Calibri"/>
                <w:sz w:val="22"/>
              </w:rPr>
              <w:t>Douglas H. Brooks</w:t>
            </w:r>
          </w:p>
        </w:tc>
        <w:tc>
          <w:tcPr>
            <w:tcW w:type="dxa" w:w="1234"/>
          </w:tcPr>
          <w:p>
            <w:r>
              <w:rPr>
                <w:rFonts w:ascii="Calibri" w:hAnsi="Calibri"/>
                <w:sz w:val="22"/>
              </w:rPr>
              <w:t>Director</w:t>
            </w:r>
          </w:p>
        </w:tc>
        <w:tc>
          <w:tcPr>
            <w:tcW w:type="dxa" w:w="1234"/>
          </w:tcPr>
          <w:p>
            <w:r>
              <w:rPr>
                <w:rFonts w:ascii="Calibri" w:hAnsi="Calibri"/>
                <w:sz w:val="22"/>
              </w:rPr>
              <w:t>Equity Award (Code A)</w:t>
            </w:r>
          </w:p>
        </w:tc>
        <w:tc>
          <w:tcPr>
            <w:tcW w:type="dxa" w:w="1234"/>
          </w:tcPr>
          <w:p>
            <w:r>
              <w:rPr>
                <w:rFonts w:ascii="Calibri" w:hAnsi="Calibri"/>
                <w:sz w:val="22"/>
              </w:rPr>
              <w:t>4,108</w:t>
            </w:r>
          </w:p>
        </w:tc>
        <w:tc>
          <w:tcPr>
            <w:tcW w:type="dxa" w:w="1234"/>
          </w:tcPr>
          <w:p>
            <w:r>
              <w:rPr>
                <w:rFonts w:ascii="Calibri" w:hAnsi="Calibri"/>
                <w:sz w:val="22"/>
              </w:rPr>
              <w:t>May 7, 2026</w:t>
            </w:r>
          </w:p>
        </w:tc>
        <w:tc>
          <w:tcPr>
            <w:tcW w:type="dxa" w:w="1234"/>
          </w:tcPr>
          <w:p>
            <w:r>
              <w:rPr>
                <w:rFonts w:ascii="Calibri" w:hAnsi="Calibri"/>
                <w:sz w:val="22"/>
              </w:rPr>
              <w:t>May 11, 2026</w:t>
            </w:r>
          </w:p>
        </w:tc>
        <w:tc>
          <w:tcPr>
            <w:tcW w:type="dxa" w:w="1234"/>
          </w:tcPr>
          <w:p>
            <w:r>
              <w:rPr>
                <w:rFonts w:ascii="Calibri" w:hAnsi="Calibri"/>
                <w:sz w:val="22"/>
              </w:rPr>
              <w:t>Routine annual director equity grant; also filed a disposition (Code G) of 1,836 shares via grantor retained annuity trust on Dec 2, 2025 (estate planning, not a market sale).</w:t>
            </w:r>
          </w:p>
        </w:tc>
      </w:tr>
      <w:tr>
        <w:tc>
          <w:tcPr>
            <w:tcW w:type="dxa" w:w="1234"/>
          </w:tcPr>
          <w:p>
            <w:r>
              <w:rPr>
                <w:rFonts w:ascii="Calibri" w:hAnsi="Calibri"/>
                <w:sz w:val="22"/>
              </w:rPr>
              <w:t>Sarah Feinberg</w:t>
            </w:r>
          </w:p>
        </w:tc>
        <w:tc>
          <w:tcPr>
            <w:tcW w:type="dxa" w:w="1234"/>
          </w:tcPr>
          <w:p>
            <w:r>
              <w:rPr>
                <w:rFonts w:ascii="Calibri" w:hAnsi="Calibri"/>
                <w:sz w:val="22"/>
              </w:rPr>
              <w:t>Director</w:t>
            </w:r>
          </w:p>
        </w:tc>
        <w:tc>
          <w:tcPr>
            <w:tcW w:type="dxa" w:w="1234"/>
          </w:tcPr>
          <w:p>
            <w:r>
              <w:rPr>
                <w:rFonts w:ascii="Calibri" w:hAnsi="Calibri"/>
                <w:sz w:val="22"/>
              </w:rPr>
              <w:t>Equity Award (Code A)</w:t>
            </w:r>
          </w:p>
        </w:tc>
        <w:tc>
          <w:tcPr>
            <w:tcW w:type="dxa" w:w="1234"/>
          </w:tcPr>
          <w:p>
            <w:r>
              <w:rPr>
                <w:rFonts w:ascii="Calibri" w:hAnsi="Calibri"/>
                <w:sz w:val="22"/>
              </w:rPr>
              <w:t>4,108</w:t>
            </w:r>
          </w:p>
        </w:tc>
        <w:tc>
          <w:tcPr>
            <w:tcW w:type="dxa" w:w="1234"/>
          </w:tcPr>
          <w:p>
            <w:r>
              <w:rPr>
                <w:rFonts w:ascii="Calibri" w:hAnsi="Calibri"/>
                <w:sz w:val="22"/>
              </w:rPr>
              <w:t>May 7, 2026</w:t>
            </w:r>
          </w:p>
        </w:tc>
        <w:tc>
          <w:tcPr>
            <w:tcW w:type="dxa" w:w="1234"/>
          </w:tcPr>
          <w:p>
            <w:r>
              <w:rPr>
                <w:rFonts w:ascii="Calibri" w:hAnsi="Calibri"/>
                <w:sz w:val="22"/>
              </w:rPr>
              <w:t>May 11, 2026</w:t>
            </w:r>
          </w:p>
        </w:tc>
        <w:tc>
          <w:tcPr>
            <w:tcW w:type="dxa" w:w="1234"/>
          </w:tcPr>
          <w:p>
            <w:r>
              <w:rPr>
                <w:rFonts w:ascii="Calibri" w:hAnsi="Calibri"/>
                <w:sz w:val="22"/>
              </w:rPr>
              <w:t>Routine annual director equity grant; not an open-market purchase.</w:t>
            </w:r>
          </w:p>
        </w:tc>
      </w:tr>
      <w:tr>
        <w:tc>
          <w:tcPr>
            <w:tcW w:type="dxa" w:w="1234"/>
          </w:tcPr>
          <w:p>
            <w:r>
              <w:rPr>
                <w:rFonts w:ascii="Calibri" w:hAnsi="Calibri"/>
                <w:sz w:val="22"/>
              </w:rPr>
              <w:t>Robert L. Fornaro</w:t>
            </w:r>
          </w:p>
        </w:tc>
        <w:tc>
          <w:tcPr>
            <w:tcW w:type="dxa" w:w="1234"/>
          </w:tcPr>
          <w:p>
            <w:r>
              <w:rPr>
                <w:rFonts w:ascii="Calibri" w:hAnsi="Calibri"/>
                <w:sz w:val="22"/>
              </w:rPr>
              <w:t>Director</w:t>
            </w:r>
          </w:p>
        </w:tc>
        <w:tc>
          <w:tcPr>
            <w:tcW w:type="dxa" w:w="1234"/>
          </w:tcPr>
          <w:p>
            <w:r>
              <w:rPr>
                <w:rFonts w:ascii="Calibri" w:hAnsi="Calibri"/>
                <w:sz w:val="22"/>
              </w:rPr>
              <w:t>Equity Award (Code A)</w:t>
            </w:r>
          </w:p>
        </w:tc>
        <w:tc>
          <w:tcPr>
            <w:tcW w:type="dxa" w:w="1234"/>
          </w:tcPr>
          <w:p>
            <w:r>
              <w:rPr>
                <w:rFonts w:ascii="Calibri" w:hAnsi="Calibri"/>
                <w:sz w:val="22"/>
              </w:rPr>
              <w:t>4,108</w:t>
            </w:r>
          </w:p>
        </w:tc>
        <w:tc>
          <w:tcPr>
            <w:tcW w:type="dxa" w:w="1234"/>
          </w:tcPr>
          <w:p>
            <w:r>
              <w:rPr>
                <w:rFonts w:ascii="Calibri" w:hAnsi="Calibri"/>
                <w:sz w:val="22"/>
              </w:rPr>
              <w:t>May 7, 2026</w:t>
            </w:r>
          </w:p>
        </w:tc>
        <w:tc>
          <w:tcPr>
            <w:tcW w:type="dxa" w:w="1234"/>
          </w:tcPr>
          <w:p>
            <w:r>
              <w:rPr>
                <w:rFonts w:ascii="Calibri" w:hAnsi="Calibri"/>
                <w:sz w:val="22"/>
              </w:rPr>
              <w:t>May 11, 2026</w:t>
            </w:r>
          </w:p>
        </w:tc>
        <w:tc>
          <w:tcPr>
            <w:tcW w:type="dxa" w:w="1234"/>
          </w:tcPr>
          <w:p>
            <w:r>
              <w:rPr>
                <w:rFonts w:ascii="Calibri" w:hAnsi="Calibri"/>
                <w:sz w:val="22"/>
              </w:rPr>
              <w:t>Routine annual director equity grant; not an open-market purchase.</w:t>
            </w:r>
          </w:p>
        </w:tc>
      </w:tr>
      <w:tr>
        <w:tc>
          <w:tcPr>
            <w:tcW w:type="dxa" w:w="1234"/>
          </w:tcPr>
          <w:p>
            <w:r>
              <w:rPr>
                <w:rFonts w:ascii="Calibri" w:hAnsi="Calibri"/>
                <w:sz w:val="22"/>
              </w:rPr>
              <w:t>David Grissen</w:t>
            </w:r>
          </w:p>
        </w:tc>
        <w:tc>
          <w:tcPr>
            <w:tcW w:type="dxa" w:w="1234"/>
          </w:tcPr>
          <w:p>
            <w:r>
              <w:rPr>
                <w:rFonts w:ascii="Calibri" w:hAnsi="Calibri"/>
                <w:sz w:val="22"/>
              </w:rPr>
              <w:t>Director</w:t>
            </w:r>
          </w:p>
        </w:tc>
        <w:tc>
          <w:tcPr>
            <w:tcW w:type="dxa" w:w="1234"/>
          </w:tcPr>
          <w:p>
            <w:r>
              <w:rPr>
                <w:rFonts w:ascii="Calibri" w:hAnsi="Calibri"/>
                <w:sz w:val="22"/>
              </w:rPr>
              <w:t>Equity Award (Code A)</w:t>
            </w:r>
          </w:p>
        </w:tc>
        <w:tc>
          <w:tcPr>
            <w:tcW w:type="dxa" w:w="1234"/>
          </w:tcPr>
          <w:p>
            <w:r>
              <w:rPr>
                <w:rFonts w:ascii="Calibri" w:hAnsi="Calibri"/>
                <w:sz w:val="22"/>
              </w:rPr>
              <w:t>4,108</w:t>
            </w:r>
          </w:p>
        </w:tc>
        <w:tc>
          <w:tcPr>
            <w:tcW w:type="dxa" w:w="1234"/>
          </w:tcPr>
          <w:p>
            <w:r>
              <w:rPr>
                <w:rFonts w:ascii="Calibri" w:hAnsi="Calibri"/>
                <w:sz w:val="22"/>
              </w:rPr>
              <w:t>May 7, 2026</w:t>
            </w:r>
          </w:p>
        </w:tc>
        <w:tc>
          <w:tcPr>
            <w:tcW w:type="dxa" w:w="1234"/>
          </w:tcPr>
          <w:p>
            <w:r>
              <w:rPr>
                <w:rFonts w:ascii="Calibri" w:hAnsi="Calibri"/>
                <w:sz w:val="22"/>
              </w:rPr>
              <w:t>May 11, 2026</w:t>
            </w:r>
          </w:p>
        </w:tc>
        <w:tc>
          <w:tcPr>
            <w:tcW w:type="dxa" w:w="1234"/>
          </w:tcPr>
          <w:p>
            <w:r>
              <w:rPr>
                <w:rFonts w:ascii="Calibri" w:hAnsi="Calibri"/>
                <w:sz w:val="22"/>
              </w:rPr>
              <w:t>Routine annual director equity grant; not an open-market purchase.</w:t>
            </w:r>
          </w:p>
        </w:tc>
      </w:tr>
      <w:tr>
        <w:tc>
          <w:tcPr>
            <w:tcW w:type="dxa" w:w="1234"/>
          </w:tcPr>
          <w:p>
            <w:r>
              <w:rPr>
                <w:rFonts w:ascii="Calibri" w:hAnsi="Calibri"/>
                <w:sz w:val="22"/>
              </w:rPr>
              <w:t>David P. Hess</w:t>
            </w:r>
          </w:p>
        </w:tc>
        <w:tc>
          <w:tcPr>
            <w:tcW w:type="dxa" w:w="1234"/>
          </w:tcPr>
          <w:p>
            <w:r>
              <w:rPr>
                <w:rFonts w:ascii="Calibri" w:hAnsi="Calibri"/>
                <w:sz w:val="22"/>
              </w:rPr>
              <w:t>Director</w:t>
            </w:r>
          </w:p>
        </w:tc>
        <w:tc>
          <w:tcPr>
            <w:tcW w:type="dxa" w:w="1234"/>
          </w:tcPr>
          <w:p>
            <w:r>
              <w:rPr>
                <w:rFonts w:ascii="Calibri" w:hAnsi="Calibri"/>
                <w:sz w:val="22"/>
              </w:rPr>
              <w:t>Equity Award (Code A)</w:t>
            </w:r>
          </w:p>
        </w:tc>
        <w:tc>
          <w:tcPr>
            <w:tcW w:type="dxa" w:w="1234"/>
          </w:tcPr>
          <w:p>
            <w:r>
              <w:rPr>
                <w:rFonts w:ascii="Calibri" w:hAnsi="Calibri"/>
                <w:sz w:val="22"/>
              </w:rPr>
              <w:t>4,108</w:t>
            </w:r>
          </w:p>
        </w:tc>
        <w:tc>
          <w:tcPr>
            <w:tcW w:type="dxa" w:w="1234"/>
          </w:tcPr>
          <w:p>
            <w:r>
              <w:rPr>
                <w:rFonts w:ascii="Calibri" w:hAnsi="Calibri"/>
                <w:sz w:val="22"/>
              </w:rPr>
              <w:t>May 7, 2026</w:t>
            </w:r>
          </w:p>
        </w:tc>
        <w:tc>
          <w:tcPr>
            <w:tcW w:type="dxa" w:w="1234"/>
          </w:tcPr>
          <w:p>
            <w:r>
              <w:rPr>
                <w:rFonts w:ascii="Calibri" w:hAnsi="Calibri"/>
                <w:sz w:val="22"/>
              </w:rPr>
              <w:t>May 11, 2026</w:t>
            </w:r>
          </w:p>
        </w:tc>
        <w:tc>
          <w:tcPr>
            <w:tcW w:type="dxa" w:w="1234"/>
          </w:tcPr>
          <w:p>
            <w:r>
              <w:rPr>
                <w:rFonts w:ascii="Calibri" w:hAnsi="Calibri"/>
                <w:sz w:val="22"/>
              </w:rPr>
              <w:t>Routine annual director equity grant; not an open-market purchase.</w:t>
            </w:r>
          </w:p>
        </w:tc>
      </w:tr>
      <w:tr>
        <w:tc>
          <w:tcPr>
            <w:tcW w:type="dxa" w:w="1234"/>
          </w:tcPr>
          <w:p>
            <w:r>
              <w:rPr>
                <w:rFonts w:ascii="Calibri" w:hAnsi="Calibri"/>
                <w:sz w:val="22"/>
              </w:rPr>
              <w:t>Christopher P. Reynolds</w:t>
            </w:r>
          </w:p>
        </w:tc>
        <w:tc>
          <w:tcPr>
            <w:tcW w:type="dxa" w:w="1234"/>
          </w:tcPr>
          <w:p>
            <w:r>
              <w:rPr>
                <w:rFonts w:ascii="Calibri" w:hAnsi="Calibri"/>
                <w:sz w:val="22"/>
              </w:rPr>
              <w:t>Director</w:t>
            </w:r>
          </w:p>
        </w:tc>
        <w:tc>
          <w:tcPr>
            <w:tcW w:type="dxa" w:w="1234"/>
          </w:tcPr>
          <w:p>
            <w:r>
              <w:rPr>
                <w:rFonts w:ascii="Calibri" w:hAnsi="Calibri"/>
                <w:sz w:val="22"/>
              </w:rPr>
              <w:t>Equity Award (Code A)</w:t>
            </w:r>
          </w:p>
        </w:tc>
        <w:tc>
          <w:tcPr>
            <w:tcW w:type="dxa" w:w="1234"/>
          </w:tcPr>
          <w:p>
            <w:r>
              <w:rPr>
                <w:rFonts w:ascii="Calibri" w:hAnsi="Calibri"/>
                <w:sz w:val="22"/>
              </w:rPr>
              <w:t>4,108</w:t>
            </w:r>
          </w:p>
        </w:tc>
        <w:tc>
          <w:tcPr>
            <w:tcW w:type="dxa" w:w="1234"/>
          </w:tcPr>
          <w:p>
            <w:r>
              <w:rPr>
                <w:rFonts w:ascii="Calibri" w:hAnsi="Calibri"/>
                <w:sz w:val="22"/>
              </w:rPr>
              <w:t>May 7, 2026</w:t>
            </w:r>
          </w:p>
        </w:tc>
        <w:tc>
          <w:tcPr>
            <w:tcW w:type="dxa" w:w="1234"/>
          </w:tcPr>
          <w:p>
            <w:r>
              <w:rPr>
                <w:rFonts w:ascii="Calibri" w:hAnsi="Calibri"/>
                <w:sz w:val="22"/>
              </w:rPr>
              <w:t>May 11, 2026</w:t>
            </w:r>
          </w:p>
        </w:tc>
        <w:tc>
          <w:tcPr>
            <w:tcW w:type="dxa" w:w="1234"/>
          </w:tcPr>
          <w:p>
            <w:r>
              <w:rPr>
                <w:rFonts w:ascii="Calibri" w:hAnsi="Calibri"/>
                <w:sz w:val="22"/>
              </w:rPr>
              <w:t>Routine annual director equity grant; not an open-market purchase.</w:t>
            </w:r>
          </w:p>
        </w:tc>
      </w:tr>
      <w:tr>
        <w:tc>
          <w:tcPr>
            <w:tcW w:type="dxa" w:w="1234"/>
          </w:tcPr>
          <w:p>
            <w:r>
              <w:rPr>
                <w:rFonts w:ascii="Calibri" w:hAnsi="Calibri"/>
                <w:sz w:val="22"/>
              </w:rPr>
              <w:t>Patricia A. Watson</w:t>
            </w:r>
          </w:p>
        </w:tc>
        <w:tc>
          <w:tcPr>
            <w:tcW w:type="dxa" w:w="1234"/>
          </w:tcPr>
          <w:p>
            <w:r>
              <w:rPr>
                <w:rFonts w:ascii="Calibri" w:hAnsi="Calibri"/>
                <w:sz w:val="22"/>
              </w:rPr>
              <w:t>Director</w:t>
            </w:r>
          </w:p>
        </w:tc>
        <w:tc>
          <w:tcPr>
            <w:tcW w:type="dxa" w:w="1234"/>
          </w:tcPr>
          <w:p>
            <w:r>
              <w:rPr>
                <w:rFonts w:ascii="Calibri" w:hAnsi="Calibri"/>
                <w:sz w:val="22"/>
              </w:rPr>
              <w:t>Equity Award (Code A)</w:t>
            </w:r>
          </w:p>
        </w:tc>
        <w:tc>
          <w:tcPr>
            <w:tcW w:type="dxa" w:w="1234"/>
          </w:tcPr>
          <w:p>
            <w:r>
              <w:rPr>
                <w:rFonts w:ascii="Calibri" w:hAnsi="Calibri"/>
                <w:sz w:val="22"/>
              </w:rPr>
              <w:t>4,108</w:t>
            </w:r>
          </w:p>
        </w:tc>
        <w:tc>
          <w:tcPr>
            <w:tcW w:type="dxa" w:w="1234"/>
          </w:tcPr>
          <w:p>
            <w:r>
              <w:rPr>
                <w:rFonts w:ascii="Calibri" w:hAnsi="Calibri"/>
                <w:sz w:val="22"/>
              </w:rPr>
              <w:t>May 7, 2026</w:t>
            </w:r>
          </w:p>
        </w:tc>
        <w:tc>
          <w:tcPr>
            <w:tcW w:type="dxa" w:w="1234"/>
          </w:tcPr>
          <w:p>
            <w:r>
              <w:rPr>
                <w:rFonts w:ascii="Calibri" w:hAnsi="Calibri"/>
                <w:sz w:val="22"/>
              </w:rPr>
              <w:t>May 11, 2026</w:t>
            </w:r>
          </w:p>
        </w:tc>
        <w:tc>
          <w:tcPr>
            <w:tcW w:type="dxa" w:w="1234"/>
          </w:tcPr>
          <w:p>
            <w:r>
              <w:rPr>
                <w:rFonts w:ascii="Calibri" w:hAnsi="Calibri"/>
                <w:sz w:val="22"/>
              </w:rPr>
              <w:t>Routine annual director equity grant; not an open-market purchase.</w:t>
            </w:r>
          </w:p>
        </w:tc>
      </w:tr>
    </w:tbl>
    <w:p>
      <w:r>
        <w:rPr>
          <w:rFonts w:ascii="Calibri" w:hAnsi="Calibri"/>
          <w:i/>
          <w:color w:val="525866"/>
          <w:sz w:val="22"/>
        </w:rPr>
        <w:t>Source: SEC Form 4 filings (Insider Transaction Data). All transactions are Code A (equity awards/grants), not open-market purchases (Code P) or sales (Code S). No executive officer (CEO, CFO, COO) transactions were filed in the window. The Douglas Brooks disposition (Code G) via grantor retained annuity trust is an estate planning transfer, not a market sale. Overall insider activity is neutral — no directional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