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Southwest Airlines (LUV)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Southwest Airlines Co.</w:t>
            </w:r>
          </w:p>
        </w:tc>
      </w:tr>
      <w:tr>
        <w:tc>
          <w:tcPr>
            <w:tcW w:type="dxa" w:w="4320"/>
          </w:tcPr>
          <w:p>
            <w:r>
              <w:rPr>
                <w:rFonts w:ascii="Calibri" w:hAnsi="Calibri"/>
                <w:b/>
                <w:sz w:val="22"/>
              </w:rPr>
              <w:t>Ticker</w:t>
            </w:r>
          </w:p>
        </w:tc>
        <w:tc>
          <w:tcPr>
            <w:tcW w:type="dxa" w:w="4320"/>
          </w:tcPr>
          <w:p>
            <w:r>
              <w:rPr>
                <w:rFonts w:ascii="Calibri" w:hAnsi="Calibri"/>
                <w:sz w:val="22"/>
              </w:rPr>
              <w:t>LUV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23, 2026 — Earnings Call at 10:00 AM ET</w:t>
            </w:r>
          </w:p>
        </w:tc>
      </w:tr>
      <w:tr>
        <w:tc>
          <w:tcPr>
            <w:tcW w:type="dxa" w:w="4320"/>
          </w:tcPr>
          <w:p>
            <w:r>
              <w:rPr>
                <w:rFonts w:ascii="Calibri" w:hAnsi="Calibri"/>
                <w:b/>
                <w:sz w:val="22"/>
              </w:rPr>
              <w:t>Prepared</w:t>
            </w:r>
          </w:p>
        </w:tc>
        <w:tc>
          <w:tcPr>
            <w:tcW w:type="dxa" w:w="4320"/>
          </w:tcPr>
          <w:p>
            <w:r>
              <w:rPr>
                <w:rFonts w:ascii="Calibri" w:hAnsi="Calibri"/>
                <w:sz w:val="22"/>
              </w:rPr>
              <w:t>July 21,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constructive but not without risk — </w:t>
      </w:r>
      <w:r>
        <w:rPr>
          <w:rFonts w:ascii="Calibri" w:hAnsi="Calibri"/>
          <w:b/>
          <w:color w:val="525866"/>
          <w:sz w:val="22"/>
        </w:rPr>
        <w:t>RASM is the clear beat driver</w:t>
      </w:r>
      <w:r>
        <w:rPr>
          <w:rFonts w:ascii="Calibri" w:hAnsi="Calibri"/>
          <w:color w:val="525866"/>
          <w:sz w:val="22"/>
        </w:rPr>
        <w:t xml:space="preserve"> (guided +16.5–18.5% YoY, likely to come in at the high end or above given accelerating yield trends), while </w:t>
      </w:r>
      <w:r>
        <w:rPr>
          <w:rFonts w:ascii="Calibri" w:hAnsi="Calibri"/>
          <w:b/>
          <w:color w:val="525866"/>
          <w:sz w:val="22"/>
        </w:rPr>
        <w:t>fuel at ~$4.10–$4.15/gallon remains the single biggest swing factor</w:t>
      </w:r>
      <w:r>
        <w:rPr>
          <w:rFonts w:ascii="Calibri" w:hAnsi="Calibri"/>
          <w:color w:val="525866"/>
          <w:sz w:val="22"/>
        </w:rPr>
        <w:t xml:space="preserve"> and the primary reason consensus EPS of ~$0.52 sits well below the top of management's $0.35–$0.65 guided range.</w:t>
      </w:r>
    </w:p>
    <w:p>
      <w:r>
        <w:rPr>
          <w:rFonts w:ascii="Calibri" w:hAnsi="Calibri"/>
          <w:color w:val="525866"/>
          <w:sz w:val="22"/>
        </w:rPr>
        <w:t xml:space="preserve">Southwest heads into Q2 2026 earnings with its transformation story firmly intact but fuel costs acting as a $1 billion (~10 margin point) headwind for the quarter. Management guided Q2 adjusted EPS of $0.35–$0.65 (consensus: ~$0.52) using a fuel assumption of $4.10–$4.15/gallon based on the April 16 forward curve; with jet fuel having eased modestly since then, there is a plausible path to the upper half of the range. </w:t>
      </w:r>
    </w:p>
    <w:p>
      <w:r>
        <w:rPr>
          <w:rFonts w:ascii="Calibri" w:hAnsi="Calibri"/>
          <w:color w:val="525866"/>
          <w:sz w:val="22"/>
        </w:rPr>
        <w:t xml:space="preserve">The bar on RASM is high but achievable: management guided +16.5–18.5% YoY and explicitly called it "industry-leading by a wide margin," citing accelerating yield traction and stable volumes — a continuation of Q1's +17.5% print. CASM-X is guided +3.5–4.0% YoY (including a 1.2-point drag from seat removal for extra-legroom reconfiguration), and Q1's structural cost outperformance (+2.3% vs. +3.5% guided) suggests the cost discipline is durable. </w:t>
      </w:r>
    </w:p>
    <w:p>
      <w:r>
        <w:rPr>
          <w:rFonts w:ascii="Calibri" w:hAnsi="Calibri"/>
          <w:color w:val="525866"/>
          <w:sz w:val="22"/>
        </w:rPr>
        <w:t>The stock has rallied ~24% since the Q1 print (April 22) and ~32% since the April lows, meaningfully outperforming both JETS and the S&amp;P 500, suggesting the market has already priced in a solid quarter. The wildcard is whether management will finally narrow or raise the full-year at-least-$4.00 EPS guide — fuel has eased from the April peak, and if Q2 comes in at the top of the range, the pressure to update the full-year outlook will be significant. A failure to do so, even with a strong Q2 print, could disappoint a market that has re-rated the stock sharply higher.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moderate bar on EPS</w:t>
      </w:r>
      <w:r>
        <w:rPr>
          <w:rFonts w:ascii="Calibri" w:hAnsi="Calibri"/>
          <w:color w:val="525866"/>
          <w:sz w:val="22"/>
        </w:rPr>
        <w:t xml:space="preserve"> (~$0.52, mid-range of guidance) but a </w:t>
      </w:r>
      <w:r>
        <w:rPr>
          <w:rFonts w:ascii="Calibri" w:hAnsi="Calibri"/>
          <w:b/>
          <w:color w:val="525866"/>
          <w:sz w:val="22"/>
        </w:rPr>
        <w:t>high bar on RASM</w:t>
      </w:r>
      <w:r>
        <w:rPr>
          <w:rFonts w:ascii="Calibri" w:hAnsi="Calibri"/>
          <w:color w:val="525866"/>
          <w:sz w:val="22"/>
        </w:rPr>
        <w:t xml:space="preserve"> (+~18% YoY implied by consensus vs. guidance of +16.5–18.5%); RASM is the bigger swing factor given fuel is largely pre-disclosed.</w:t>
      </w:r>
    </w:p>
    <w:p>
      <w:pPr>
        <w:pStyle w:val="Heading3"/>
      </w:pPr>
      <w:r>
        <w:rPr>
          <w:rFonts w:ascii="Calibri" w:hAnsi="Calibri"/>
          <w:b/>
          <w:color w:val="3B4259"/>
          <w:sz w:val="24"/>
        </w:rPr>
        <w:t>Table 1 — Q2 2026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 EPS (Operating)</w:t>
            </w:r>
          </w:p>
        </w:tc>
        <w:tc>
          <w:tcPr>
            <w:tcW w:type="dxa" w:w="1234"/>
          </w:tcPr>
          <w:p>
            <w:r>
              <w:rPr>
                <w:rFonts w:ascii="Calibri" w:hAnsi="Calibri"/>
                <w:sz w:val="22"/>
              </w:rPr>
              <w:t>$0.45</w:t>
            </w:r>
          </w:p>
        </w:tc>
        <w:tc>
          <w:tcPr>
            <w:tcW w:type="dxa" w:w="1234"/>
          </w:tcPr>
          <w:p>
            <w:r>
              <w:rPr>
                <w:rFonts w:ascii="Calibri" w:hAnsi="Calibri"/>
                <w:sz w:val="22"/>
              </w:rPr>
              <w:t>$0.43</w:t>
            </w:r>
          </w:p>
        </w:tc>
        <w:tc>
          <w:tcPr>
            <w:tcW w:type="dxa" w:w="1234"/>
          </w:tcPr>
          <w:p>
            <w:r>
              <w:rPr>
                <w:rFonts w:ascii="Calibri" w:hAnsi="Calibri"/>
                <w:sz w:val="22"/>
              </w:rPr>
              <w:t>$0.52</w:t>
            </w:r>
          </w:p>
        </w:tc>
        <w:tc>
          <w:tcPr>
            <w:tcW w:type="dxa" w:w="1234"/>
          </w:tcPr>
          <w:p>
            <w:r>
              <w:rPr>
                <w:rFonts w:ascii="Calibri" w:hAnsi="Calibri"/>
                <w:sz w:val="22"/>
              </w:rPr>
              <w:t>+$0.09 / +21%</w:t>
            </w:r>
          </w:p>
        </w:tc>
        <w:tc>
          <w:tcPr>
            <w:tcW w:type="dxa" w:w="1234"/>
          </w:tcPr>
          <w:p>
            <w:r>
              <w:rPr>
                <w:rFonts w:ascii="Calibri" w:hAnsi="Calibri"/>
                <w:sz w:val="22"/>
              </w:rPr>
              <w:t>$0.35–$0.65 (mid: $0.50)</w:t>
            </w:r>
          </w:p>
        </w:tc>
        <w:tc>
          <w:tcPr>
            <w:tcW w:type="dxa" w:w="1234"/>
          </w:tcPr>
          <w:p>
            <w:r>
              <w:rPr>
                <w:rFonts w:ascii="Calibri" w:hAnsi="Calibri"/>
                <w:sz w:val="22"/>
              </w:rPr>
              <w:t>+4% vs. midpoint</w:t>
            </w:r>
          </w:p>
        </w:tc>
      </w:tr>
      <w:tr>
        <w:tc>
          <w:tcPr>
            <w:tcW w:type="dxa" w:w="1234"/>
          </w:tcPr>
          <w:p>
            <w:r>
              <w:rPr>
                <w:rFonts w:ascii="Calibri" w:hAnsi="Calibri"/>
                <w:sz w:val="22"/>
              </w:rPr>
              <w:t>Total Revenue</w:t>
            </w:r>
          </w:p>
        </w:tc>
        <w:tc>
          <w:tcPr>
            <w:tcW w:type="dxa" w:w="1234"/>
          </w:tcPr>
          <w:p>
            <w:r>
              <w:rPr>
                <w:rFonts w:ascii="Calibri" w:hAnsi="Calibri"/>
                <w:sz w:val="22"/>
              </w:rPr>
              <w:t>$7.249B</w:t>
            </w:r>
          </w:p>
        </w:tc>
        <w:tc>
          <w:tcPr>
            <w:tcW w:type="dxa" w:w="1234"/>
          </w:tcPr>
          <w:p>
            <w:r>
              <w:rPr>
                <w:rFonts w:ascii="Calibri" w:hAnsi="Calibri"/>
                <w:sz w:val="22"/>
              </w:rPr>
              <w:t>$7.244B</w:t>
            </w:r>
          </w:p>
        </w:tc>
        <w:tc>
          <w:tcPr>
            <w:tcW w:type="dxa" w:w="1234"/>
          </w:tcPr>
          <w:p>
            <w:r>
              <w:rPr>
                <w:rFonts w:ascii="Calibri" w:hAnsi="Calibri"/>
                <w:sz w:val="22"/>
              </w:rPr>
              <w:t>$8.569B</w:t>
            </w:r>
          </w:p>
        </w:tc>
        <w:tc>
          <w:tcPr>
            <w:tcW w:type="dxa" w:w="1234"/>
          </w:tcPr>
          <w:p>
            <w:r>
              <w:rPr>
                <w:rFonts w:ascii="Calibri" w:hAnsi="Calibri"/>
                <w:sz w:val="22"/>
              </w:rPr>
              <w:t>+18.3%</w:t>
            </w:r>
          </w:p>
        </w:tc>
        <w:tc>
          <w:tcPr>
            <w:tcW w:type="dxa" w:w="1234"/>
          </w:tcPr>
          <w:p>
            <w:r>
              <w:rPr>
                <w:rFonts w:ascii="Calibri" w:hAnsi="Calibri"/>
                <w:sz w:val="22"/>
              </w:rPr>
              <w:t>N/A (no explicit $ guide)</w:t>
            </w:r>
          </w:p>
        </w:tc>
        <w:tc>
          <w:tcPr>
            <w:tcW w:type="dxa" w:w="1234"/>
          </w:tcPr>
          <w:p>
            <w:r>
              <w:rPr>
                <w:rFonts w:ascii="Calibri" w:hAnsi="Calibri"/>
                <w:sz w:val="22"/>
              </w:rPr>
              <w:t>N/A</w:t>
            </w:r>
          </w:p>
        </w:tc>
      </w:tr>
      <w:tr>
        <w:tc>
          <w:tcPr>
            <w:tcW w:type="dxa" w:w="1234"/>
          </w:tcPr>
          <w:p>
            <w:r>
              <w:rPr>
                <w:rFonts w:ascii="Calibri" w:hAnsi="Calibri"/>
                <w:sz w:val="22"/>
              </w:rPr>
              <w:t>RASM (Revenue/ASM)</w:t>
            </w:r>
          </w:p>
        </w:tc>
        <w:tc>
          <w:tcPr>
            <w:tcW w:type="dxa" w:w="1234"/>
          </w:tcPr>
          <w:p>
            <w:r>
              <w:rPr>
                <w:rFonts w:ascii="Calibri" w:hAnsi="Calibri"/>
                <w:sz w:val="22"/>
              </w:rPr>
              <w:t>$0.1724/ASM</w:t>
            </w:r>
          </w:p>
        </w:tc>
        <w:tc>
          <w:tcPr>
            <w:tcW w:type="dxa" w:w="1234"/>
          </w:tcPr>
          <w:p>
            <w:r>
              <w:rPr>
                <w:rFonts w:ascii="Calibri" w:hAnsi="Calibri"/>
                <w:sz w:val="22"/>
              </w:rPr>
              <w:t>$0.1541/ASM</w:t>
            </w:r>
          </w:p>
        </w:tc>
        <w:tc>
          <w:tcPr>
            <w:tcW w:type="dxa" w:w="1234"/>
          </w:tcPr>
          <w:p>
            <w:r>
              <w:rPr>
                <w:rFonts w:ascii="Calibri" w:hAnsi="Calibri"/>
                <w:sz w:val="22"/>
              </w:rPr>
              <w:t>$0.1819/ASM</w:t>
            </w:r>
          </w:p>
        </w:tc>
        <w:tc>
          <w:tcPr>
            <w:tcW w:type="dxa" w:w="1234"/>
          </w:tcPr>
          <w:p>
            <w:r>
              <w:rPr>
                <w:rFonts w:ascii="Calibri" w:hAnsi="Calibri"/>
                <w:sz w:val="22"/>
              </w:rPr>
              <w:t>+18.1% YoY</w:t>
            </w:r>
          </w:p>
        </w:tc>
        <w:tc>
          <w:tcPr>
            <w:tcW w:type="dxa" w:w="1234"/>
          </w:tcPr>
          <w:p>
            <w:r>
              <w:rPr>
                <w:rFonts w:ascii="Calibri" w:hAnsi="Calibri"/>
                <w:sz w:val="22"/>
              </w:rPr>
              <w:t>+16.5% to +18.5% YoY</w:t>
            </w:r>
          </w:p>
        </w:tc>
        <w:tc>
          <w:tcPr>
            <w:tcW w:type="dxa" w:w="1234"/>
          </w:tcPr>
          <w:p>
            <w:r>
              <w:rPr>
                <w:rFonts w:ascii="Calibri" w:hAnsi="Calibri"/>
                <w:sz w:val="22"/>
              </w:rPr>
              <w:t>At high end of range</w:t>
            </w:r>
          </w:p>
        </w:tc>
      </w:tr>
      <w:tr>
        <w:tc>
          <w:tcPr>
            <w:tcW w:type="dxa" w:w="1234"/>
          </w:tcPr>
          <w:p>
            <w:r>
              <w:rPr>
                <w:rFonts w:ascii="Calibri" w:hAnsi="Calibri"/>
                <w:sz w:val="22"/>
              </w:rPr>
              <w:t>CASM-X (ex-fuel, ex-profit sharing)</w:t>
            </w:r>
          </w:p>
        </w:tc>
        <w:tc>
          <w:tcPr>
            <w:tcW w:type="dxa" w:w="1234"/>
          </w:tcPr>
          <w:p>
            <w:r>
              <w:rPr>
                <w:rFonts w:ascii="Calibri" w:hAnsi="Calibri"/>
                <w:sz w:val="22"/>
              </w:rPr>
              <w:t>$0.1323/ASM</w:t>
            </w:r>
          </w:p>
        </w:tc>
        <w:tc>
          <w:tcPr>
            <w:tcW w:type="dxa" w:w="1234"/>
          </w:tcPr>
          <w:p>
            <w:r>
              <w:rPr>
                <w:rFonts w:ascii="Calibri" w:hAnsi="Calibri"/>
                <w:sz w:val="22"/>
              </w:rPr>
              <w:t>$0.1211/ASM</w:t>
            </w:r>
          </w:p>
        </w:tc>
        <w:tc>
          <w:tcPr>
            <w:tcW w:type="dxa" w:w="1234"/>
          </w:tcPr>
          <w:p>
            <w:r>
              <w:rPr>
                <w:rFonts w:ascii="Calibri" w:hAnsi="Calibri"/>
                <w:sz w:val="22"/>
              </w:rPr>
              <w:t>$0.1263/ASM</w:t>
            </w:r>
          </w:p>
        </w:tc>
        <w:tc>
          <w:tcPr>
            <w:tcW w:type="dxa" w:w="1234"/>
          </w:tcPr>
          <w:p>
            <w:r>
              <w:rPr>
                <w:rFonts w:ascii="Calibri" w:hAnsi="Calibri"/>
                <w:sz w:val="22"/>
              </w:rPr>
              <w:t>+4.3% YoY</w:t>
            </w:r>
          </w:p>
        </w:tc>
        <w:tc>
          <w:tcPr>
            <w:tcW w:type="dxa" w:w="1234"/>
          </w:tcPr>
          <w:p>
            <w:r>
              <w:rPr>
                <w:rFonts w:ascii="Calibri" w:hAnsi="Calibri"/>
                <w:sz w:val="22"/>
              </w:rPr>
              <w:t>+3.5% to +4.0% YoY</w:t>
            </w:r>
          </w:p>
        </w:tc>
        <w:tc>
          <w:tcPr>
            <w:tcW w:type="dxa" w:w="1234"/>
          </w:tcPr>
          <w:p>
            <w:r>
              <w:rPr>
                <w:rFonts w:ascii="Calibri" w:hAnsi="Calibri"/>
                <w:sz w:val="22"/>
              </w:rPr>
              <w:t>Slightly above midpoint</w:t>
            </w:r>
          </w:p>
        </w:tc>
      </w:tr>
      <w:tr>
        <w:tc>
          <w:tcPr>
            <w:tcW w:type="dxa" w:w="1234"/>
          </w:tcPr>
          <w:p>
            <w:r>
              <w:rPr>
                <w:rFonts w:ascii="Calibri" w:hAnsi="Calibri"/>
                <w:sz w:val="22"/>
              </w:rPr>
              <w:t>Fuel Cost/Gallon</w:t>
            </w:r>
          </w:p>
        </w:tc>
        <w:tc>
          <w:tcPr>
            <w:tcW w:type="dxa" w:w="1234"/>
          </w:tcPr>
          <w:p>
            <w:r>
              <w:rPr>
                <w:rFonts w:ascii="Calibri" w:hAnsi="Calibri"/>
                <w:sz w:val="22"/>
              </w:rPr>
              <w:t>$2.73</w:t>
            </w:r>
          </w:p>
        </w:tc>
        <w:tc>
          <w:tcPr>
            <w:tcW w:type="dxa" w:w="1234"/>
          </w:tcPr>
          <w:p>
            <w:r>
              <w:rPr>
                <w:rFonts w:ascii="Calibri" w:hAnsi="Calibri"/>
                <w:sz w:val="22"/>
              </w:rPr>
              <w:t>$2.33</w:t>
            </w:r>
          </w:p>
        </w:tc>
        <w:tc>
          <w:tcPr>
            <w:tcW w:type="dxa" w:w="1234"/>
          </w:tcPr>
          <w:p>
            <w:r>
              <w:rPr>
                <w:rFonts w:ascii="Calibri" w:hAnsi="Calibri"/>
                <w:sz w:val="22"/>
              </w:rPr>
              <w:t>$4.11</w:t>
            </w:r>
          </w:p>
        </w:tc>
        <w:tc>
          <w:tcPr>
            <w:tcW w:type="dxa" w:w="1234"/>
          </w:tcPr>
          <w:p>
            <w:r>
              <w:rPr>
                <w:rFonts w:ascii="Calibri" w:hAnsi="Calibri"/>
                <w:sz w:val="22"/>
              </w:rPr>
              <w:t>+76% YoY</w:t>
            </w:r>
          </w:p>
        </w:tc>
        <w:tc>
          <w:tcPr>
            <w:tcW w:type="dxa" w:w="1234"/>
          </w:tcPr>
          <w:p>
            <w:r>
              <w:rPr>
                <w:rFonts w:ascii="Calibri" w:hAnsi="Calibri"/>
                <w:sz w:val="22"/>
              </w:rPr>
              <w:t>$4.10–$4.15</w:t>
            </w:r>
          </w:p>
        </w:tc>
        <w:tc>
          <w:tcPr>
            <w:tcW w:type="dxa" w:w="1234"/>
          </w:tcPr>
          <w:p>
            <w:r>
              <w:rPr>
                <w:rFonts w:ascii="Calibri" w:hAnsi="Calibri"/>
                <w:sz w:val="22"/>
              </w:rPr>
              <w:t>In line with guidance</w:t>
            </w:r>
          </w:p>
        </w:tc>
      </w:tr>
      <w:tr>
        <w:tc>
          <w:tcPr>
            <w:tcW w:type="dxa" w:w="1234"/>
          </w:tcPr>
          <w:p>
            <w:r>
              <w:rPr>
                <w:rFonts w:ascii="Calibri" w:hAnsi="Calibri"/>
                <w:sz w:val="22"/>
              </w:rPr>
              <w:t>Available Seat Miles (ASMs)</w:t>
            </w:r>
          </w:p>
        </w:tc>
        <w:tc>
          <w:tcPr>
            <w:tcW w:type="dxa" w:w="1234"/>
          </w:tcPr>
          <w:p>
            <w:r>
              <w:rPr>
                <w:rFonts w:ascii="Calibri" w:hAnsi="Calibri"/>
                <w:sz w:val="22"/>
              </w:rPr>
              <w:t>42.0B</w:t>
            </w:r>
          </w:p>
        </w:tc>
        <w:tc>
          <w:tcPr>
            <w:tcW w:type="dxa" w:w="1234"/>
          </w:tcPr>
          <w:p>
            <w:r>
              <w:rPr>
                <w:rFonts w:ascii="Calibri" w:hAnsi="Calibri"/>
                <w:sz w:val="22"/>
              </w:rPr>
              <w:t>47.0B</w:t>
            </w:r>
          </w:p>
        </w:tc>
        <w:tc>
          <w:tcPr>
            <w:tcW w:type="dxa" w:w="1234"/>
          </w:tcPr>
          <w:p>
            <w:r>
              <w:rPr>
                <w:rFonts w:ascii="Calibri" w:hAnsi="Calibri"/>
                <w:sz w:val="22"/>
              </w:rPr>
              <w:t>47.1B</w:t>
            </w:r>
          </w:p>
        </w:tc>
        <w:tc>
          <w:tcPr>
            <w:tcW w:type="dxa" w:w="1234"/>
          </w:tcPr>
          <w:p>
            <w:r>
              <w:rPr>
                <w:rFonts w:ascii="Calibri" w:hAnsi="Calibri"/>
                <w:sz w:val="22"/>
              </w:rPr>
              <w:t>Flat YoY</w:t>
            </w:r>
          </w:p>
        </w:tc>
        <w:tc>
          <w:tcPr>
            <w:tcW w:type="dxa" w:w="1234"/>
          </w:tcPr>
          <w:p>
            <w:r>
              <w:rPr>
                <w:rFonts w:ascii="Calibri" w:hAnsi="Calibri"/>
                <w:sz w:val="22"/>
              </w:rPr>
              <w:t>Flat to +1.0% YoY</w:t>
            </w:r>
          </w:p>
        </w:tc>
        <w:tc>
          <w:tcPr>
            <w:tcW w:type="dxa" w:w="1234"/>
          </w:tcPr>
          <w:p>
            <w:r>
              <w:rPr>
                <w:rFonts w:ascii="Calibri" w:hAnsi="Calibri"/>
                <w:sz w:val="22"/>
              </w:rPr>
              <w:t>In line</w:t>
            </w:r>
          </w:p>
        </w:tc>
      </w:tr>
      <w:tr>
        <w:tc>
          <w:tcPr>
            <w:tcW w:type="dxa" w:w="1234"/>
          </w:tcPr>
          <w:p>
            <w:r>
              <w:rPr>
                <w:rFonts w:ascii="Calibri" w:hAnsi="Calibri"/>
                <w:sz w:val="22"/>
              </w:rPr>
              <w:t>Load Factor</w:t>
            </w:r>
          </w:p>
        </w:tc>
        <w:tc>
          <w:tcPr>
            <w:tcW w:type="dxa" w:w="1234"/>
          </w:tcPr>
          <w:p>
            <w:r>
              <w:rPr>
                <w:rFonts w:ascii="Calibri" w:hAnsi="Calibri"/>
                <w:sz w:val="22"/>
              </w:rPr>
              <w:t>74.1%</w:t>
            </w:r>
          </w:p>
        </w:tc>
        <w:tc>
          <w:tcPr>
            <w:tcW w:type="dxa" w:w="1234"/>
          </w:tcPr>
          <w:p>
            <w:r>
              <w:rPr>
                <w:rFonts w:ascii="Calibri" w:hAnsi="Calibri"/>
                <w:sz w:val="22"/>
              </w:rPr>
              <w:t>78.5%</w:t>
            </w:r>
          </w:p>
        </w:tc>
        <w:tc>
          <w:tcPr>
            <w:tcW w:type="dxa" w:w="1234"/>
          </w:tcPr>
          <w:p>
            <w:r>
              <w:rPr>
                <w:rFonts w:ascii="Calibri" w:hAnsi="Calibri"/>
                <w:sz w:val="22"/>
              </w:rPr>
              <w:t>79.1%</w:t>
            </w:r>
          </w:p>
        </w:tc>
        <w:tc>
          <w:tcPr>
            <w:tcW w:type="dxa" w:w="1234"/>
          </w:tcPr>
          <w:p>
            <w:r>
              <w:rPr>
                <w:rFonts w:ascii="Calibri" w:hAnsi="Calibri"/>
                <w:sz w:val="22"/>
              </w:rPr>
              <w:t>+0.6 pts YoY</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color w:val="525866"/>
          <w:sz w:val="22"/>
        </w:rPr>
        <w:t>Source: Visible Alpha Consensus and Actuals Data; Southwest Airlines Q1 2026 Earnings Release &amp; Conference Call (April 22–23, 2026).</w:t>
      </w:r>
    </w:p>
    <w:p>
      <w:pPr>
        <w:pStyle w:val="Heading3"/>
      </w:pPr>
      <w:r>
        <w:rPr>
          <w:rFonts w:ascii="Calibri" w:hAnsi="Calibri"/>
          <w:b/>
          <w:color w:val="3B4259"/>
          <w:sz w:val="24"/>
        </w:rPr>
        <w:t>Table 2 — Beat/Miss History: Last 8 Quarters (Top 2 KPIs: Adj. EPS &amp; RASM)</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$0.45</w:t>
            </w:r>
          </w:p>
        </w:tc>
        <w:tc>
          <w:tcPr>
            <w:tcW w:type="dxa" w:w="1440"/>
          </w:tcPr>
          <w:p>
            <w:r>
              <w:rPr>
                <w:rFonts w:ascii="Calibri" w:hAnsi="Calibri"/>
                <w:sz w:val="22"/>
              </w:rPr>
              <w:t>$0.47</w:t>
            </w:r>
          </w:p>
        </w:tc>
        <w:tc>
          <w:tcPr>
            <w:tcW w:type="dxa" w:w="1440"/>
          </w:tcPr>
          <w:p>
            <w:r>
              <w:rPr>
                <w:rFonts w:ascii="Calibri" w:hAnsi="Calibri"/>
                <w:sz w:val="22"/>
              </w:rPr>
              <w:t>−4%</w:t>
            </w:r>
          </w:p>
        </w:tc>
        <w:tc>
          <w:tcPr>
            <w:tcW w:type="dxa" w:w="1440"/>
          </w:tcPr>
          <w:p>
            <w:r>
              <w:rPr>
                <w:rFonts w:ascii="Calibri" w:hAnsi="Calibri"/>
                <w:b/>
                <w:color w:val="E5484D"/>
                <w:sz w:val="22"/>
              </w:rPr>
              <w:t>Miss</w:t>
            </w:r>
          </w:p>
        </w:tc>
      </w:tr>
      <w:tr>
        <w:tc>
          <w:tcPr>
            <w:tcW w:type="dxa" w:w="1440"/>
          </w:tcPr>
          <w:p>
            <w:r>
              <w:rPr>
                <w:rFonts w:ascii="Calibri" w:hAnsi="Calibri"/>
                <w:sz w:val="22"/>
              </w:rPr>
              <w:t>Q1 2026</w:t>
            </w:r>
          </w:p>
        </w:tc>
        <w:tc>
          <w:tcPr>
            <w:tcW w:type="dxa" w:w="1440"/>
          </w:tcPr>
          <w:p>
            <w:r>
              <w:rPr>
                <w:rFonts w:ascii="Calibri" w:hAnsi="Calibri"/>
                <w:sz w:val="22"/>
              </w:rPr>
              <w:t>RASM</w:t>
            </w:r>
          </w:p>
        </w:tc>
        <w:tc>
          <w:tcPr>
            <w:tcW w:type="dxa" w:w="1440"/>
          </w:tcPr>
          <w:p>
            <w:r>
              <w:rPr>
                <w:rFonts w:ascii="Calibri" w:hAnsi="Calibri"/>
                <w:sz w:val="22"/>
              </w:rPr>
              <w:t>$0.1724</w:t>
            </w:r>
          </w:p>
        </w:tc>
        <w:tc>
          <w:tcPr>
            <w:tcW w:type="dxa" w:w="1440"/>
          </w:tcPr>
          <w:p>
            <w:r>
              <w:rPr>
                <w:rFonts w:ascii="Calibri" w:hAnsi="Calibri"/>
                <w:sz w:val="22"/>
              </w:rPr>
              <w:t>$0.1729</w:t>
            </w:r>
          </w:p>
        </w:tc>
        <w:tc>
          <w:tcPr>
            <w:tcW w:type="dxa" w:w="1440"/>
          </w:tcPr>
          <w:p>
            <w:r>
              <w:rPr>
                <w:rFonts w:ascii="Calibri" w:hAnsi="Calibri"/>
                <w:sz w:val="22"/>
              </w:rPr>
              <w:t>−0.3%</w:t>
            </w:r>
          </w:p>
        </w:tc>
        <w:tc>
          <w:tcPr>
            <w:tcW w:type="dxa" w:w="1440"/>
          </w:tcPr>
          <w:p>
            <w:r>
              <w:rPr>
                <w:rFonts w:ascii="Calibri" w:hAnsi="Calibri"/>
                <w:sz w:val="22"/>
              </w:rPr>
              <w:t>In Line</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$0.578</w:t>
            </w:r>
          </w:p>
        </w:tc>
        <w:tc>
          <w:tcPr>
            <w:tcW w:type="dxa" w:w="1440"/>
          </w:tcPr>
          <w:p>
            <w:r>
              <w:rPr>
                <w:rFonts w:ascii="Calibri" w:hAnsi="Calibri"/>
                <w:sz w:val="22"/>
              </w:rPr>
              <w:t>$0.536</w:t>
            </w:r>
          </w:p>
        </w:tc>
        <w:tc>
          <w:tcPr>
            <w:tcW w:type="dxa" w:w="1440"/>
          </w:tcPr>
          <w:p>
            <w:r>
              <w:rPr>
                <w:rFonts w:ascii="Calibri" w:hAnsi="Calibri"/>
                <w:sz w:val="22"/>
              </w:rPr>
              <w:t>+7.8%</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RASM</w:t>
            </w:r>
          </w:p>
        </w:tc>
        <w:tc>
          <w:tcPr>
            <w:tcW w:type="dxa" w:w="1440"/>
          </w:tcPr>
          <w:p>
            <w:r>
              <w:rPr>
                <w:rFonts w:ascii="Calibri" w:hAnsi="Calibri"/>
                <w:sz w:val="22"/>
              </w:rPr>
              <w:t>$0.1616</w:t>
            </w:r>
          </w:p>
        </w:tc>
        <w:tc>
          <w:tcPr>
            <w:tcW w:type="dxa" w:w="1440"/>
          </w:tcPr>
          <w:p>
            <w:r>
              <w:rPr>
                <w:rFonts w:ascii="Calibri" w:hAnsi="Calibri"/>
                <w:sz w:val="22"/>
              </w:rPr>
              <w:t>$0.1635</w:t>
            </w:r>
          </w:p>
        </w:tc>
        <w:tc>
          <w:tcPr>
            <w:tcW w:type="dxa" w:w="1440"/>
          </w:tcPr>
          <w:p>
            <w:r>
              <w:rPr>
                <w:rFonts w:ascii="Calibri" w:hAnsi="Calibri"/>
                <w:sz w:val="22"/>
              </w:rPr>
              <w:t>−1.2%</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$0.11</w:t>
            </w:r>
          </w:p>
        </w:tc>
        <w:tc>
          <w:tcPr>
            <w:tcW w:type="dxa" w:w="1440"/>
          </w:tcPr>
          <w:p>
            <w:r>
              <w:rPr>
                <w:rFonts w:ascii="Calibri" w:hAnsi="Calibri"/>
                <w:sz w:val="22"/>
              </w:rPr>
              <w:t>−0.02</w:t>
            </w:r>
          </w:p>
        </w:tc>
        <w:tc>
          <w:tcPr>
            <w:tcW w:type="dxa" w:w="1440"/>
          </w:tcPr>
          <w:p>
            <w:r>
              <w:rPr>
                <w:rFonts w:ascii="Calibri" w:hAnsi="Calibri"/>
                <w:sz w:val="22"/>
              </w:rPr>
              <w:t>N/M</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RASM</w:t>
            </w:r>
          </w:p>
        </w:tc>
        <w:tc>
          <w:tcPr>
            <w:tcW w:type="dxa" w:w="1440"/>
          </w:tcPr>
          <w:p>
            <w:r>
              <w:rPr>
                <w:rFonts w:ascii="Calibri" w:hAnsi="Calibri"/>
                <w:sz w:val="22"/>
              </w:rPr>
              <w:t>$0.1525</w:t>
            </w:r>
          </w:p>
        </w:tc>
        <w:tc>
          <w:tcPr>
            <w:tcW w:type="dxa" w:w="1440"/>
          </w:tcPr>
          <w:p>
            <w:r>
              <w:rPr>
                <w:rFonts w:ascii="Calibri" w:hAnsi="Calibri"/>
                <w:sz w:val="22"/>
              </w:rPr>
              <w:t>$0.1524</w:t>
            </w:r>
          </w:p>
        </w:tc>
        <w:tc>
          <w:tcPr>
            <w:tcW w:type="dxa" w:w="1440"/>
          </w:tcPr>
          <w:p>
            <w:r>
              <w:rPr>
                <w:rFonts w:ascii="Calibri" w:hAnsi="Calibri"/>
                <w:sz w:val="22"/>
              </w:rPr>
              <w:t>+0.1%</w:t>
            </w:r>
          </w:p>
        </w:tc>
        <w:tc>
          <w:tcPr>
            <w:tcW w:type="dxa" w:w="1440"/>
          </w:tcPr>
          <w:p>
            <w:r>
              <w:rPr>
                <w:rFonts w:ascii="Calibri" w:hAnsi="Calibri"/>
                <w:sz w:val="22"/>
              </w:rPr>
              <w:t>In Line</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$0.43</w:t>
            </w:r>
          </w:p>
        </w:tc>
        <w:tc>
          <w:tcPr>
            <w:tcW w:type="dxa" w:w="1440"/>
          </w:tcPr>
          <w:p>
            <w:r>
              <w:rPr>
                <w:rFonts w:ascii="Calibri" w:hAnsi="Calibri"/>
                <w:sz w:val="22"/>
              </w:rPr>
              <w:t>$0.51</w:t>
            </w:r>
          </w:p>
        </w:tc>
        <w:tc>
          <w:tcPr>
            <w:tcW w:type="dxa" w:w="1440"/>
          </w:tcPr>
          <w:p>
            <w:r>
              <w:rPr>
                <w:rFonts w:ascii="Calibri" w:hAnsi="Calibri"/>
                <w:sz w:val="22"/>
              </w:rPr>
              <w:t>−15.7%</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RASM</w:t>
            </w:r>
          </w:p>
        </w:tc>
        <w:tc>
          <w:tcPr>
            <w:tcW w:type="dxa" w:w="1440"/>
          </w:tcPr>
          <w:p>
            <w:r>
              <w:rPr>
                <w:rFonts w:ascii="Calibri" w:hAnsi="Calibri"/>
                <w:sz w:val="22"/>
              </w:rPr>
              <w:t>$0.1541</w:t>
            </w:r>
          </w:p>
        </w:tc>
        <w:tc>
          <w:tcPr>
            <w:tcW w:type="dxa" w:w="1440"/>
          </w:tcPr>
          <w:p>
            <w:r>
              <w:rPr>
                <w:rFonts w:ascii="Calibri" w:hAnsi="Calibri"/>
                <w:sz w:val="22"/>
              </w:rPr>
              <w:t>$0.1549</w:t>
            </w:r>
          </w:p>
        </w:tc>
        <w:tc>
          <w:tcPr>
            <w:tcW w:type="dxa" w:w="1440"/>
          </w:tcPr>
          <w:p>
            <w:r>
              <w:rPr>
                <w:rFonts w:ascii="Calibri" w:hAnsi="Calibri"/>
                <w:sz w:val="22"/>
              </w:rPr>
              <w:t>−0.5%</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−0.13</w:t>
            </w:r>
          </w:p>
        </w:tc>
        <w:tc>
          <w:tcPr>
            <w:tcW w:type="dxa" w:w="1440"/>
          </w:tcPr>
          <w:p>
            <w:r>
              <w:rPr>
                <w:rFonts w:ascii="Calibri" w:hAnsi="Calibri"/>
                <w:sz w:val="22"/>
              </w:rPr>
              <w:t>−0.18</w:t>
            </w:r>
          </w:p>
        </w:tc>
        <w:tc>
          <w:tcPr>
            <w:tcW w:type="dxa" w:w="1440"/>
          </w:tcPr>
          <w:p>
            <w:r>
              <w:rPr>
                <w:rFonts w:ascii="Calibri" w:hAnsi="Calibri"/>
                <w:sz w:val="22"/>
              </w:rPr>
              <w:t>+27.8%</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RASM</w:t>
            </w:r>
          </w:p>
        </w:tc>
        <w:tc>
          <w:tcPr>
            <w:tcW w:type="dxa" w:w="1440"/>
          </w:tcPr>
          <w:p>
            <w:r>
              <w:rPr>
                <w:rFonts w:ascii="Calibri" w:hAnsi="Calibri"/>
                <w:sz w:val="22"/>
              </w:rPr>
              <w:t>$0.1551</w:t>
            </w:r>
          </w:p>
        </w:tc>
        <w:tc>
          <w:tcPr>
            <w:tcW w:type="dxa" w:w="1440"/>
          </w:tcPr>
          <w:p>
            <w:r>
              <w:rPr>
                <w:rFonts w:ascii="Calibri" w:hAnsi="Calibri"/>
                <w:sz w:val="22"/>
              </w:rPr>
              <w:t>$0.1543</w:t>
            </w:r>
          </w:p>
        </w:tc>
        <w:tc>
          <w:tcPr>
            <w:tcW w:type="dxa" w:w="1440"/>
          </w:tcPr>
          <w:p>
            <w:r>
              <w:rPr>
                <w:rFonts w:ascii="Calibri" w:hAnsi="Calibri"/>
                <w:sz w:val="22"/>
              </w:rPr>
              <w:t>+0.5%</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$0.555</w:t>
            </w:r>
          </w:p>
        </w:tc>
        <w:tc>
          <w:tcPr>
            <w:tcW w:type="dxa" w:w="1440"/>
          </w:tcPr>
          <w:p>
            <w:r>
              <w:rPr>
                <w:rFonts w:ascii="Calibri" w:hAnsi="Calibri"/>
                <w:sz w:val="22"/>
              </w:rPr>
              <w:t>$0.467</w:t>
            </w:r>
          </w:p>
        </w:tc>
        <w:tc>
          <w:tcPr>
            <w:tcW w:type="dxa" w:w="1440"/>
          </w:tcPr>
          <w:p>
            <w:r>
              <w:rPr>
                <w:rFonts w:ascii="Calibri" w:hAnsi="Calibri"/>
                <w:sz w:val="22"/>
              </w:rPr>
              <w:t>+18.8%</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RASM</w:t>
            </w:r>
          </w:p>
        </w:tc>
        <w:tc>
          <w:tcPr>
            <w:tcW w:type="dxa" w:w="1440"/>
          </w:tcPr>
          <w:p>
            <w:r>
              <w:rPr>
                <w:rFonts w:ascii="Calibri" w:hAnsi="Calibri"/>
                <w:sz w:val="22"/>
              </w:rPr>
              <w:t>$0.1619</w:t>
            </w:r>
          </w:p>
        </w:tc>
        <w:tc>
          <w:tcPr>
            <w:tcW w:type="dxa" w:w="1440"/>
          </w:tcPr>
          <w:p>
            <w:r>
              <w:rPr>
                <w:rFonts w:ascii="Calibri" w:hAnsi="Calibri"/>
                <w:sz w:val="22"/>
              </w:rPr>
              <w:t>$0.1593</w:t>
            </w:r>
          </w:p>
        </w:tc>
        <w:tc>
          <w:tcPr>
            <w:tcW w:type="dxa" w:w="1440"/>
          </w:tcPr>
          <w:p>
            <w:r>
              <w:rPr>
                <w:rFonts w:ascii="Calibri" w:hAnsi="Calibri"/>
                <w:sz w:val="22"/>
              </w:rPr>
              <w:t>+1.6%</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$0.15</w:t>
            </w:r>
          </w:p>
        </w:tc>
        <w:tc>
          <w:tcPr>
            <w:tcW w:type="dxa" w:w="1440"/>
          </w:tcPr>
          <w:p>
            <w:r>
              <w:rPr>
                <w:rFonts w:ascii="Calibri" w:hAnsi="Calibri"/>
                <w:sz w:val="22"/>
              </w:rPr>
              <w:t>$0.04</w:t>
            </w:r>
          </w:p>
        </w:tc>
        <w:tc>
          <w:tcPr>
            <w:tcW w:type="dxa" w:w="1440"/>
          </w:tcPr>
          <w:p>
            <w:r>
              <w:rPr>
                <w:rFonts w:ascii="Calibri" w:hAnsi="Calibri"/>
                <w:sz w:val="22"/>
              </w:rPr>
              <w:t>+275%</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RASM</w:t>
            </w:r>
          </w:p>
        </w:tc>
        <w:tc>
          <w:tcPr>
            <w:tcW w:type="dxa" w:w="1440"/>
          </w:tcPr>
          <w:p>
            <w:r>
              <w:rPr>
                <w:rFonts w:ascii="Calibri" w:hAnsi="Calibri"/>
                <w:sz w:val="22"/>
              </w:rPr>
              <w:t>$0.1519</w:t>
            </w:r>
          </w:p>
        </w:tc>
        <w:tc>
          <w:tcPr>
            <w:tcW w:type="dxa" w:w="1440"/>
          </w:tcPr>
          <w:p>
            <w:r>
              <w:rPr>
                <w:rFonts w:ascii="Calibri" w:hAnsi="Calibri"/>
                <w:sz w:val="22"/>
              </w:rPr>
              <w:t>$0.1501</w:t>
            </w:r>
          </w:p>
        </w:tc>
        <w:tc>
          <w:tcPr>
            <w:tcW w:type="dxa" w:w="1440"/>
          </w:tcPr>
          <w:p>
            <w:r>
              <w:rPr>
                <w:rFonts w:ascii="Calibri" w:hAnsi="Calibri"/>
                <w:sz w:val="22"/>
              </w:rPr>
              <w:t>+1.2%</w:t>
            </w:r>
          </w:p>
        </w:tc>
        <w:tc>
          <w:tcPr>
            <w:tcW w:type="dxa" w:w="1440"/>
          </w:tcPr>
          <w:p>
            <w:r>
              <w:rPr>
                <w:rFonts w:ascii="Calibri" w:hAnsi="Calibri"/>
                <w:b/>
                <w:color w:val="30A46C"/>
                <w:sz w:val="22"/>
              </w:rPr>
              <w:t>Beat</w:t>
            </w:r>
          </w:p>
        </w:tc>
      </w:tr>
    </w:tbl>
    <w:p>
      <w:r>
        <w:rPr>
          <w:rFonts w:ascii="Calibri" w:hAnsi="Calibri"/>
          <w:i/>
          <w:color w:val="525866"/>
          <w:sz w:val="22"/>
        </w:rPr>
        <w:t xml:space="preserve">Source: Visible Alpha Consensus and Actuals Data. </w:t>
      </w:r>
      <w:r>
        <w:rPr>
          <w:rFonts w:ascii="Calibri" w:hAnsi="Calibri"/>
          <w:color w:val="525866"/>
          <w:sz w:val="22"/>
        </w:rPr>
        <w:t>Pattern: LUV has beaten on Adj. EPS in 5 of the last 8 quarters, with the two most recent misses driven by fuel cost surprises rather than operational underperformance. RASM has been consistently in-line to slightly above consensus, reflecting management's conservative guidance posture on unit revenue.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unchanged since the Q1 2026 earnings call</w:t>
      </w:r>
      <w:r>
        <w:rPr>
          <w:rFonts w:ascii="Calibri" w:hAnsi="Calibri"/>
          <w:color w:val="525866"/>
          <w:sz w:val="22"/>
        </w:rPr>
        <w:t xml:space="preserve"> — management deliberately declined to update the full-year $4.00 EPS target citing fuel volatility, but the Bernstein conference (May 28) confirmed accelerating yield trends and growing confidence in fuel cost recovery, suggesting the Q2 print could finally prompt a guidance update.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 EPS</w:t>
            </w:r>
          </w:p>
        </w:tc>
        <w:tc>
          <w:tcPr>
            <w:tcW w:type="dxa" w:w="1728"/>
          </w:tcPr>
          <w:p>
            <w:r>
              <w:rPr>
                <w:rFonts w:ascii="Calibri" w:hAnsi="Calibri"/>
                <w:sz w:val="22"/>
              </w:rPr>
              <w:t>$0.35–$0.65</w:t>
            </w:r>
          </w:p>
        </w:tc>
        <w:tc>
          <w:tcPr>
            <w:tcW w:type="dxa" w:w="1728"/>
          </w:tcPr>
          <w:p>
            <w:r>
              <w:rPr>
                <w:rFonts w:ascii="Calibri" w:hAnsi="Calibri"/>
                <w:sz w:val="22"/>
              </w:rPr>
              <w:t>—</w:t>
            </w:r>
          </w:p>
        </w:tc>
        <w:tc>
          <w:tcPr>
            <w:tcW w:type="dxa" w:w="1728"/>
          </w:tcPr>
          <w:p>
            <w:r>
              <w:rPr>
                <w:rFonts w:ascii="Calibri" w:hAnsi="Calibri"/>
                <w:sz w:val="22"/>
              </w:rPr>
              <w:t>$0.52</w:t>
            </w:r>
          </w:p>
        </w:tc>
        <w:tc>
          <w:tcPr>
            <w:tcW w:type="dxa" w:w="1728"/>
          </w:tcPr>
          <w:p>
            <w:r>
              <w:rPr>
                <w:rFonts w:ascii="Calibri" w:hAnsi="Calibri"/>
                <w:sz w:val="22"/>
              </w:rPr>
              <w:t>No revision; consensus sits near midpoint. Fuel assumption: $4.10–$4.15/gal (Apr 16 curve).</w:t>
            </w:r>
          </w:p>
        </w:tc>
      </w:tr>
      <w:tr>
        <w:tc>
          <w:tcPr>
            <w:tcW w:type="dxa" w:w="1728"/>
          </w:tcPr>
          <w:p>
            <w:r>
              <w:rPr>
                <w:rFonts w:ascii="Calibri" w:hAnsi="Calibri"/>
                <w:sz w:val="22"/>
              </w:rPr>
              <w:t>Q2 2026 RASM YoY</w:t>
            </w:r>
          </w:p>
        </w:tc>
        <w:tc>
          <w:tcPr>
            <w:tcW w:type="dxa" w:w="1728"/>
          </w:tcPr>
          <w:p>
            <w:r>
              <w:rPr>
                <w:rFonts w:ascii="Calibri" w:hAnsi="Calibri"/>
                <w:sz w:val="22"/>
              </w:rPr>
              <w:t>+16.5% to +18.5%</w:t>
            </w:r>
          </w:p>
        </w:tc>
        <w:tc>
          <w:tcPr>
            <w:tcW w:type="dxa" w:w="1728"/>
          </w:tcPr>
          <w:p>
            <w:r>
              <w:rPr>
                <w:rFonts w:ascii="Calibri" w:hAnsi="Calibri"/>
                <w:sz w:val="22"/>
              </w:rPr>
              <w:t>—</w:t>
            </w:r>
          </w:p>
        </w:tc>
        <w:tc>
          <w:tcPr>
            <w:tcW w:type="dxa" w:w="1728"/>
          </w:tcPr>
          <w:p>
            <w:r>
              <w:rPr>
                <w:rFonts w:ascii="Calibri" w:hAnsi="Calibri"/>
                <w:sz w:val="22"/>
              </w:rPr>
              <w:t>+18.1% (implied)</w:t>
            </w:r>
          </w:p>
        </w:tc>
        <w:tc>
          <w:tcPr>
            <w:tcW w:type="dxa" w:w="1728"/>
          </w:tcPr>
          <w:p>
            <w:r>
              <w:rPr>
                <w:rFonts w:ascii="Calibri" w:hAnsi="Calibri"/>
                <w:sz w:val="22"/>
              </w:rPr>
              <w:t>No revision; Bernstein (May 28) confirmed "even stronger yield traction than Q1" with accelerating trends.</w:t>
            </w:r>
          </w:p>
        </w:tc>
      </w:tr>
      <w:tr>
        <w:tc>
          <w:tcPr>
            <w:tcW w:type="dxa" w:w="1728"/>
          </w:tcPr>
          <w:p>
            <w:r>
              <w:rPr>
                <w:rFonts w:ascii="Calibri" w:hAnsi="Calibri"/>
                <w:sz w:val="22"/>
              </w:rPr>
              <w:t>Q2 2026 CASM-X YoY</w:t>
            </w:r>
          </w:p>
        </w:tc>
        <w:tc>
          <w:tcPr>
            <w:tcW w:type="dxa" w:w="1728"/>
          </w:tcPr>
          <w:p>
            <w:r>
              <w:rPr>
                <w:rFonts w:ascii="Calibri" w:hAnsi="Calibri"/>
                <w:sz w:val="22"/>
              </w:rPr>
              <w:t>+3.5% to +4.0%</w:t>
            </w:r>
          </w:p>
        </w:tc>
        <w:tc>
          <w:tcPr>
            <w:tcW w:type="dxa" w:w="1728"/>
          </w:tcPr>
          <w:p>
            <w:r>
              <w:rPr>
                <w:rFonts w:ascii="Calibri" w:hAnsi="Calibri"/>
                <w:sz w:val="22"/>
              </w:rPr>
              <w:t>—</w:t>
            </w:r>
          </w:p>
        </w:tc>
        <w:tc>
          <w:tcPr>
            <w:tcW w:type="dxa" w:w="1728"/>
          </w:tcPr>
          <w:p>
            <w:r>
              <w:rPr>
                <w:rFonts w:ascii="Calibri" w:hAnsi="Calibri"/>
                <w:sz w:val="22"/>
              </w:rPr>
              <w:t>+4.3% (implied)</w:t>
            </w:r>
          </w:p>
        </w:tc>
        <w:tc>
          <w:tcPr>
            <w:tcW w:type="dxa" w:w="1728"/>
          </w:tcPr>
          <w:p>
            <w:r>
              <w:rPr>
                <w:rFonts w:ascii="Calibri" w:hAnsi="Calibri"/>
                <w:sz w:val="22"/>
              </w:rPr>
              <w:t>Includes 1.2-pt drag from 737-700 seat removal for extra-legroom. Consensus slightly above top of range.</w:t>
            </w:r>
          </w:p>
        </w:tc>
      </w:tr>
      <w:tr>
        <w:tc>
          <w:tcPr>
            <w:tcW w:type="dxa" w:w="1728"/>
          </w:tcPr>
          <w:p>
            <w:r>
              <w:rPr>
                <w:rFonts w:ascii="Calibri" w:hAnsi="Calibri"/>
                <w:sz w:val="22"/>
              </w:rPr>
              <w:t>Q2 2026 Capacity (ASMs YoY)</w:t>
            </w:r>
          </w:p>
        </w:tc>
        <w:tc>
          <w:tcPr>
            <w:tcW w:type="dxa" w:w="1728"/>
          </w:tcPr>
          <w:p>
            <w:r>
              <w:rPr>
                <w:rFonts w:ascii="Calibri" w:hAnsi="Calibri"/>
                <w:sz w:val="22"/>
              </w:rPr>
              <w:t>Flat to +1.0%</w:t>
            </w:r>
          </w:p>
        </w:tc>
        <w:tc>
          <w:tcPr>
            <w:tcW w:type="dxa" w:w="1728"/>
          </w:tcPr>
          <w:p>
            <w:r>
              <w:rPr>
                <w:rFonts w:ascii="Calibri" w:hAnsi="Calibri"/>
                <w:sz w:val="22"/>
              </w:rPr>
              <w:t>—</w:t>
            </w:r>
          </w:p>
        </w:tc>
        <w:tc>
          <w:tcPr>
            <w:tcW w:type="dxa" w:w="1728"/>
          </w:tcPr>
          <w:p>
            <w:r>
              <w:rPr>
                <w:rFonts w:ascii="Calibri" w:hAnsi="Calibri"/>
                <w:sz w:val="22"/>
              </w:rPr>
              <w:t>Flat (implied)</w:t>
            </w:r>
          </w:p>
        </w:tc>
        <w:tc>
          <w:tcPr>
            <w:tcW w:type="dxa" w:w="1728"/>
          </w:tcPr>
          <w:p>
            <w:r>
              <w:rPr>
                <w:rFonts w:ascii="Calibri" w:hAnsi="Calibri"/>
                <w:sz w:val="22"/>
              </w:rPr>
              <w:t>No revision; network optimization ongoing (O’Hare/Dulles suspended June 2026).</w:t>
            </w:r>
          </w:p>
        </w:tc>
      </w:tr>
      <w:tr>
        <w:tc>
          <w:tcPr>
            <w:tcW w:type="dxa" w:w="1728"/>
          </w:tcPr>
          <w:p>
            <w:r>
              <w:rPr>
                <w:rFonts w:ascii="Calibri" w:hAnsi="Calibri"/>
                <w:sz w:val="22"/>
              </w:rPr>
              <w:t>FY 2026 Adj. EPS</w:t>
            </w:r>
          </w:p>
        </w:tc>
        <w:tc>
          <w:tcPr>
            <w:tcW w:type="dxa" w:w="1728"/>
          </w:tcPr>
          <w:p>
            <w:r>
              <w:rPr>
                <w:rFonts w:ascii="Calibri" w:hAnsi="Calibri"/>
                <w:sz w:val="22"/>
              </w:rPr>
              <w:t>At least $4.00 (not updated)</w:t>
            </w:r>
          </w:p>
        </w:tc>
        <w:tc>
          <w:tcPr>
            <w:tcW w:type="dxa" w:w="1728"/>
          </w:tcPr>
          <w:p>
            <w:r>
              <w:rPr>
                <w:rFonts w:ascii="Calibri" w:hAnsi="Calibri"/>
                <w:sz w:val="22"/>
              </w:rPr>
              <w:t>—</w:t>
            </w:r>
          </w:p>
        </w:tc>
        <w:tc>
          <w:tcPr>
            <w:tcW w:type="dxa" w:w="1728"/>
          </w:tcPr>
          <w:p>
            <w:r>
              <w:rPr>
                <w:rFonts w:ascii="Calibri" w:hAnsi="Calibri"/>
                <w:sz w:val="22"/>
              </w:rPr>
              <w:t>$3.15</w:t>
            </w:r>
          </w:p>
        </w:tc>
        <w:tc>
          <w:tcPr>
            <w:tcW w:type="dxa" w:w="1728"/>
          </w:tcPr>
          <w:p>
            <w:r>
              <w:rPr>
                <w:rFonts w:ascii="Calibri" w:hAnsi="Calibri"/>
                <w:sz w:val="22"/>
              </w:rPr>
              <w:t>Management explicitly declined to update at Q1 earnings: "Given ongoing macroeconomic uncertainty, updating the full-year guide would not be productive." Consensus well below the $4.00 floor, implying the Street does not fully credit the target.</w:t>
            </w:r>
          </w:p>
        </w:tc>
      </w:tr>
      <w:tr>
        <w:tc>
          <w:tcPr>
            <w:tcW w:type="dxa" w:w="1728"/>
          </w:tcPr>
          <w:p>
            <w:r>
              <w:rPr>
                <w:rFonts w:ascii="Calibri" w:hAnsi="Calibri"/>
                <w:sz w:val="22"/>
              </w:rPr>
              <w:t>FY 2026 Capacity (ASMs YoY)</w:t>
            </w:r>
          </w:p>
        </w:tc>
        <w:tc>
          <w:tcPr>
            <w:tcW w:type="dxa" w:w="1728"/>
          </w:tcPr>
          <w:p>
            <w:r>
              <w:rPr>
                <w:rFonts w:ascii="Calibri" w:hAnsi="Calibri"/>
                <w:sz w:val="22"/>
              </w:rPr>
              <w:t>~+2% (low end of prior +2–3%)</w:t>
            </w:r>
          </w:p>
        </w:tc>
        <w:tc>
          <w:tcPr>
            <w:tcW w:type="dxa" w:w="1728"/>
          </w:tcPr>
          <w:p>
            <w:r>
              <w:rPr>
                <w:rFonts w:ascii="Calibri" w:hAnsi="Calibri"/>
                <w:sz w:val="22"/>
              </w:rPr>
              <w:t>—</w:t>
            </w:r>
          </w:p>
        </w:tc>
        <w:tc>
          <w:tcPr>
            <w:tcW w:type="dxa" w:w="1728"/>
          </w:tcPr>
          <w:p>
            <w:r>
              <w:rPr>
                <w:rFonts w:ascii="Calibri" w:hAnsi="Calibri"/>
                <w:sz w:val="22"/>
              </w:rPr>
              <w:t>~+2%</w:t>
            </w:r>
          </w:p>
        </w:tc>
        <w:tc>
          <w:tcPr>
            <w:tcW w:type="dxa" w:w="1728"/>
          </w:tcPr>
          <w:p>
            <w:r>
              <w:rPr>
                <w:rFonts w:ascii="Calibri" w:hAnsi="Calibri"/>
                <w:sz w:val="22"/>
              </w:rPr>
              <w:t>Narrowed at Q1 earnings; driven by schedule optimization and network refinement.</w:t>
            </w:r>
          </w:p>
        </w:tc>
      </w:tr>
    </w:tbl>
    <w:p>
      <w:r>
        <w:rPr>
          <w:rFonts w:ascii="Calibri" w:hAnsi="Calibri"/>
          <w:color w:val="525866"/>
          <w:sz w:val="22"/>
        </w:rPr>
        <w:t>Source: Southwest Airlines Q1 2026 Earnings Release (April 22, 2026); Q1 2026 Earnings Call Transcript (April 23, 2026); Bernstein Strategic Decisions Conference Transcript (May 28,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EPS have </w:t>
      </w:r>
      <w:r>
        <w:rPr>
          <w:rFonts w:ascii="Calibri" w:hAnsi="Calibri"/>
          <w:b/>
          <w:color w:val="525866"/>
          <w:sz w:val="22"/>
        </w:rPr>
        <w:t>declined sharply since Q1 earnings</w:t>
      </w:r>
      <w:r>
        <w:rPr>
          <w:rFonts w:ascii="Calibri" w:hAnsi="Calibri"/>
          <w:color w:val="525866"/>
          <w:sz w:val="22"/>
        </w:rPr>
        <w:t xml:space="preserve"> (from ~$1.40 in January to ~$0.52 today), almost entirely driven by the fuel shock from the Iran conflict. RASM estimates have held firm or moved slightly higher, confirming the revenue transformation is tracking. The </w:t>
      </w:r>
      <w:r>
        <w:rPr>
          <w:rFonts w:ascii="Calibri" w:hAnsi="Calibri"/>
          <w:b/>
          <w:color w:val="525866"/>
          <w:sz w:val="22"/>
        </w:rPr>
        <w:t>full-year consensus of $3.15 remains well below management's $4.00 floor</w:t>
      </w:r>
      <w:r>
        <w:rPr>
          <w:rFonts w:ascii="Calibri" w:hAnsi="Calibri"/>
          <w:color w:val="525866"/>
          <w:sz w:val="22"/>
        </w:rPr>
        <w:t>, creating a wide gap that will only close if fuel recedes or management explicitly raises the bar.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Q1 Earnings (Apr 29,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Adj. EPS — Q2 2026</w:t>
            </w:r>
          </w:p>
        </w:tc>
        <w:tc>
          <w:tcPr>
            <w:tcW w:type="dxa" w:w="1080"/>
          </w:tcPr>
          <w:p>
            <w:r>
              <w:rPr>
                <w:rFonts w:ascii="Calibri" w:hAnsi="Calibri"/>
                <w:sz w:val="22"/>
              </w:rPr>
              <w:t>$0.465</w:t>
            </w:r>
          </w:p>
        </w:tc>
        <w:tc>
          <w:tcPr>
            <w:tcW w:type="dxa" w:w="1080"/>
          </w:tcPr>
          <w:p>
            <w:r>
              <w:rPr>
                <w:rFonts w:ascii="Calibri" w:hAnsi="Calibri"/>
                <w:sz w:val="22"/>
              </w:rPr>
              <w:t>$0.520</w:t>
            </w:r>
          </w:p>
        </w:tc>
        <w:tc>
          <w:tcPr>
            <w:tcW w:type="dxa" w:w="1080"/>
          </w:tcPr>
          <w:p>
            <w:r>
              <w:rPr>
                <w:rFonts w:ascii="Calibri" w:hAnsi="Calibri"/>
                <w:sz w:val="22"/>
              </w:rPr>
              <w:t>+11.8%</w:t>
            </w:r>
          </w:p>
        </w:tc>
        <w:tc>
          <w:tcPr>
            <w:tcW w:type="dxa" w:w="1080"/>
          </w:tcPr>
          <w:p>
            <w:r>
              <w:rPr>
                <w:rFonts w:ascii="Calibri" w:hAnsi="Calibri"/>
                <w:sz w:val="22"/>
              </w:rPr>
              <w:t>$0.35–$0.65 (mid: $0.50)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 vs. midpoint</w:t>
            </w:r>
          </w:p>
        </w:tc>
      </w:tr>
      <w:tr>
        <w:tc>
          <w:tcPr>
            <w:tcW w:type="dxa" w:w="1080"/>
          </w:tcPr>
          <w:p>
            <w:r>
              <w:rPr>
                <w:rFonts w:ascii="Calibri" w:hAnsi="Calibri"/>
                <w:sz w:val="22"/>
              </w:rPr>
              <w:t>RASM — Q2 2026</w:t>
            </w:r>
          </w:p>
        </w:tc>
        <w:tc>
          <w:tcPr>
            <w:tcW w:type="dxa" w:w="1080"/>
          </w:tcPr>
          <w:p>
            <w:r>
              <w:rPr>
                <w:rFonts w:ascii="Calibri" w:hAnsi="Calibri"/>
                <w:sz w:val="22"/>
              </w:rPr>
              <w:t>$0.1815/ASM</w:t>
            </w:r>
          </w:p>
        </w:tc>
        <w:tc>
          <w:tcPr>
            <w:tcW w:type="dxa" w:w="1080"/>
          </w:tcPr>
          <w:p>
            <w:r>
              <w:rPr>
                <w:rFonts w:ascii="Calibri" w:hAnsi="Calibri"/>
                <w:sz w:val="22"/>
              </w:rPr>
              <w:t>$0.1819/ASM</w:t>
            </w:r>
          </w:p>
        </w:tc>
        <w:tc>
          <w:tcPr>
            <w:tcW w:type="dxa" w:w="1080"/>
          </w:tcPr>
          <w:p>
            <w:r>
              <w:rPr>
                <w:rFonts w:ascii="Calibri" w:hAnsi="Calibri"/>
                <w:sz w:val="22"/>
              </w:rPr>
              <w:t>+0.2%</w:t>
            </w:r>
          </w:p>
        </w:tc>
        <w:tc>
          <w:tcPr>
            <w:tcW w:type="dxa" w:w="1080"/>
          </w:tcPr>
          <w:p>
            <w:r>
              <w:rPr>
                <w:rFonts w:ascii="Calibri" w:hAnsi="Calibri"/>
                <w:sz w:val="22"/>
              </w:rPr>
              <w:t>+16.5% to +18.5%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high end of range</w:t>
            </w:r>
          </w:p>
        </w:tc>
      </w:tr>
      <w:tr>
        <w:tc>
          <w:tcPr>
            <w:tcW w:type="dxa" w:w="1080"/>
          </w:tcPr>
          <w:p>
            <w:r>
              <w:rPr>
                <w:rFonts w:ascii="Calibri" w:hAnsi="Calibri"/>
                <w:sz w:val="22"/>
              </w:rPr>
              <w:t>Adj. EPS — FY 2026</w:t>
            </w:r>
          </w:p>
        </w:tc>
        <w:tc>
          <w:tcPr>
            <w:tcW w:type="dxa" w:w="1080"/>
          </w:tcPr>
          <w:p>
            <w:r>
              <w:rPr>
                <w:rFonts w:ascii="Calibri" w:hAnsi="Calibri"/>
                <w:sz w:val="22"/>
              </w:rPr>
              <w:t>$2.634</w:t>
            </w:r>
          </w:p>
        </w:tc>
        <w:tc>
          <w:tcPr>
            <w:tcW w:type="dxa" w:w="1080"/>
          </w:tcPr>
          <w:p>
            <w:r>
              <w:rPr>
                <w:rFonts w:ascii="Calibri" w:hAnsi="Calibri"/>
                <w:sz w:val="22"/>
              </w:rPr>
              <w:t>$3.150</w:t>
            </w:r>
          </w:p>
        </w:tc>
        <w:tc>
          <w:tcPr>
            <w:tcW w:type="dxa" w:w="1080"/>
          </w:tcPr>
          <w:p>
            <w:r>
              <w:rPr>
                <w:rFonts w:ascii="Calibri" w:hAnsi="Calibri"/>
                <w:sz w:val="22"/>
              </w:rPr>
              <w:t>+19.6%</w:t>
            </w:r>
          </w:p>
        </w:tc>
        <w:tc>
          <w:tcPr>
            <w:tcW w:type="dxa" w:w="1080"/>
          </w:tcPr>
          <w:p>
            <w:r>
              <w:rPr>
                <w:rFonts w:ascii="Calibri" w:hAnsi="Calibri"/>
                <w:sz w:val="22"/>
              </w:rPr>
              <w:t>At least $4.00</w:t>
            </w:r>
          </w:p>
        </w:tc>
        <w:tc>
          <w:tcPr>
            <w:tcW w:type="dxa" w:w="1080"/>
          </w:tcPr>
          <w:p>
            <w:r>
              <w:rPr>
                <w:rFonts w:ascii="Calibri" w:hAnsi="Calibri"/>
                <w:sz w:val="22"/>
              </w:rPr>
              <w:t>Unchanged (not updated)</w:t>
            </w:r>
          </w:p>
        </w:tc>
        <w:tc>
          <w:tcPr>
            <w:tcW w:type="dxa" w:w="1080"/>
          </w:tcPr>
          <w:p>
            <w:r>
              <w:rPr>
                <w:rFonts w:ascii="Calibri" w:hAnsi="Calibri"/>
                <w:sz w:val="22"/>
              </w:rPr>
              <w:t>—</w:t>
            </w:r>
          </w:p>
        </w:tc>
        <w:tc>
          <w:tcPr>
            <w:tcW w:type="dxa" w:w="1080"/>
          </w:tcPr>
          <w:p>
            <w:r>
              <w:rPr>
                <w:rFonts w:ascii="Calibri" w:hAnsi="Calibri"/>
                <w:sz w:val="22"/>
              </w:rPr>
              <w:t>−21% below $4.00 floor</w:t>
            </w:r>
          </w:p>
        </w:tc>
      </w:tr>
      <w:tr>
        <w:tc>
          <w:tcPr>
            <w:tcW w:type="dxa" w:w="1080"/>
          </w:tcPr>
          <w:p>
            <w:r>
              <w:rPr>
                <w:rFonts w:ascii="Calibri" w:hAnsi="Calibri"/>
                <w:sz w:val="22"/>
              </w:rPr>
              <w:t>RASM — FY 2026</w:t>
            </w:r>
          </w:p>
        </w:tc>
        <w:tc>
          <w:tcPr>
            <w:tcW w:type="dxa" w:w="1080"/>
          </w:tcPr>
          <w:p>
            <w:r>
              <w:rPr>
                <w:rFonts w:ascii="Calibri" w:hAnsi="Calibri"/>
                <w:sz w:val="22"/>
              </w:rPr>
              <w:t>$0.1786/ASM</w:t>
            </w:r>
          </w:p>
        </w:tc>
        <w:tc>
          <w:tcPr>
            <w:tcW w:type="dxa" w:w="1080"/>
          </w:tcPr>
          <w:p>
            <w:r>
              <w:rPr>
                <w:rFonts w:ascii="Calibri" w:hAnsi="Calibri"/>
                <w:sz w:val="22"/>
              </w:rPr>
              <w:t>$0.1786/ASM</w:t>
            </w:r>
          </w:p>
        </w:tc>
        <w:tc>
          <w:tcPr>
            <w:tcW w:type="dxa" w:w="1080"/>
          </w:tcPr>
          <w:p>
            <w:r>
              <w:rPr>
                <w:rFonts w:ascii="Calibri" w:hAnsi="Calibri"/>
                <w:sz w:val="22"/>
              </w:rPr>
              <w:t>Flat</w:t>
            </w:r>
          </w:p>
        </w:tc>
        <w:tc>
          <w:tcPr>
            <w:tcW w:type="dxa" w:w="1080"/>
          </w:tcPr>
          <w:p>
            <w:r>
              <w:rPr>
                <w:rFonts w:ascii="Calibri" w:hAnsi="Calibri"/>
                <w:sz w:val="22"/>
              </w:rPr>
              <w:t>N/A (no FY RASM guide)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(as-of date: April 29, 2026 for baseline; latest as of July 21, 2026 for current). Southwest Airlines Q1 2026 Earnings Call (April 23, 2026). </w:t>
      </w:r>
    </w:p>
    <w:p>
      <w:r>
        <w:rPr>
          <w:rFonts w:ascii="Calibri" w:hAnsi="Calibri"/>
          <w:color w:val="525866"/>
          <w:sz w:val="22"/>
        </w:rPr>
        <w:t>The Q2 EPS estimate has actually recovered +12% since the immediate post-Q1 print baseline, likely reflecting fuel curve improvement from the April peak. RASM estimates have been remarkably stable, validating management's confidence in the revenue transformation. The full-year gap between consensus ($3.15) and management's floor ($4.00) is the key debate heading into the print — a strong Q2 and any fuel tailwind could force the Street to close this gap rapidly.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LUV has </w:t>
      </w:r>
      <w:r>
        <w:rPr>
          <w:rFonts w:ascii="Calibri" w:hAnsi="Calibri"/>
          <w:b/>
          <w:color w:val="525866"/>
          <w:sz w:val="22"/>
        </w:rPr>
        <w:t>dramatically outperformed both JETS and the S&amp;P 500 since Q1 earnings</w:t>
      </w:r>
      <w:r>
        <w:rPr>
          <w:rFonts w:ascii="Calibri" w:hAnsi="Calibri"/>
          <w:color w:val="525866"/>
          <w:sz w:val="22"/>
        </w:rPr>
        <w:t xml:space="preserve"> (+24% vs. +18% for JETS and +5% for SPY), driven by multiple expansion as the market re-rates the transformation story. The stock peaked near $52 in late June before pulling back ~6% on Iran/fuel concerns, suggesting some of the easy re-rating may be behind us.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LUV vs. JETS (Airline Sector ETF) vs. S&amp;P 500 — Indexed to 100 at Q1 2026 Earnings (April 22, 2026). Source: Yahoo Finance / Stock Price Data.</w:t>
      </w:r>
    </w:p>
    <w:p>
      <w:r>
        <w:rPr>
          <w:rFonts w:ascii="Calibri" w:hAnsi="Calibri"/>
          <w:color w:val="525866"/>
          <w:sz w:val="22"/>
        </w:rPr>
        <w:t>LUV opened the post-earnings period at $39.35 (April 22) and initially sold off to ~$37 on the day of the call (April 23) as investors focused on the fuel headwind and management's refusal to raise the full-year guide. The stock then staged a powerful recovery through May and June, reaching a high of ~$52 on June 25 as the Iran ceasefire reduced fuel fears and the Bernstein conference (May 28) reinforced confidence in the RASM trajectory. The stock has since pulled back to ~$48.70 (July 21) as Iran tensions re-escalated and fuel costs moved higher again. Notably, LUV has outperformed JETS by ~6 percentage points since Q1 earnings, reflecting the idiosyncratic re-rating of the transformation story rather than pure sector beta. The sector ETF (JETS) itself has outperformed the S&amp;P 500 by ~13 points over the same period, driven by broad airline strength on robust demand.</w:t>
      </w:r>
    </w:p>
    <w:p>
      <w:r>
        <w:rPr>
          <w:rFonts w:ascii="Calibri" w:hAnsi="Calibri"/>
          <w:b/>
          <w:color w:val="525866"/>
          <w:sz w:val="22"/>
        </w:rPr>
        <w:t xml:space="preserve">Key events marked on chart: </w:t>
      </w:r>
      <w:r>
        <w:rPr>
          <w:rFonts w:ascii="Calibri" w:hAnsi="Calibri"/>
          <w:color w:val="525866"/>
          <w:sz w:val="22"/>
        </w:rPr>
        <w:t>Bernstein Conference (May 28) — management confirmed accelerating yield trends and 7 consecutive fare increases; Iran ceasefire (mid-June) — fuel fears eased, sector rallied sharply; Iran tensions re-escalate (early July) — sector pulled back ~5–6%.</w:t>
      </w:r>
    </w:p>
    <w:p>
      <w:r>
        <w:br w:type="page"/>
      </w:r>
    </w:p>
    <w:p>
      <w:pPr>
        <w:pStyle w:val="Heading2"/>
      </w:pPr>
      <w:r>
        <w:rPr>
          <w:rFonts w:ascii="Calibri" w:hAnsi="Calibri"/>
          <w:b/>
          <w:color w:val="3B4259"/>
          <w:sz w:val="28"/>
        </w:rPr>
        <w:t>6. Peer Commentary &amp; Current-Quarter Read-Throughs</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uniformly bullish on demand and RASM</w:t>
      </w:r>
      <w:r>
        <w:rPr>
          <w:rFonts w:ascii="Calibri" w:hAnsi="Calibri"/>
          <w:color w:val="525866"/>
          <w:sz w:val="22"/>
        </w:rPr>
        <w:t xml:space="preserve"> for Q2 2026, with DAL and UAL both reporting strong beats and raising full-year guidance. The read-through for LUV is </w:t>
      </w:r>
      <w:r>
        <w:rPr>
          <w:rFonts w:ascii="Calibri" w:hAnsi="Calibri"/>
          <w:b/>
          <w:color w:val="525866"/>
          <w:sz w:val="22"/>
        </w:rPr>
        <w:t>positive on revenue but cautionary on fuel recovery</w:t>
      </w:r>
      <w:r>
        <w:rPr>
          <w:rFonts w:ascii="Calibri" w:hAnsi="Calibri"/>
          <w:color w:val="525866"/>
          <w:sz w:val="22"/>
        </w:rPr>
        <w:t xml:space="preserve"> — larger network carriers with premium exposure are recovering fuel costs faster than LUV, which is still in the early stages of its product transformation.</w:t>
      </w:r>
    </w:p>
    <w:p>
      <w:r>
        <w:rPr>
          <w:rFonts w:ascii="Calibri" w:hAnsi="Calibri"/>
          <w:color w:val="525866"/>
          <w:sz w:val="22"/>
        </w:rPr>
        <w:t>Note: Only commentary addressing Q2 2026 (the current reporting quarter) or forward bookings/outlook is included below. Prior-quarter-only earnings commentary has been excluded.</w:t>
      </w:r>
    </w:p>
    <w:p>
      <w:pPr>
        <w:pStyle w:val="Heading3"/>
      </w:pPr>
      <w:r>
        <w:rPr>
          <w:rFonts w:ascii="Calibri" w:hAnsi="Calibri"/>
          <w:b/>
          <w:color w:val="3B4259"/>
          <w:sz w:val="24"/>
        </w:rPr>
        <w:t>Delta Air Lines (DAL) — Q2 2026 Earnings (July 10, 2026)</w:t>
      </w:r>
    </w:p>
    <w:p>
      <w:pPr>
        <w:pStyle w:val="ListBullet"/>
        <w:ind w:left="360" w:hanging="360"/>
      </w:pPr>
      <w:r>
        <w:rPr>
          <w:rFonts w:ascii="Calibri" w:hAnsi="Calibri"/>
          <w:b/>
          <w:color w:val="525866"/>
          <w:sz w:val="22"/>
        </w:rPr>
        <w:t xml:space="preserve">Demand &amp; RASM (Positive Read-Through): </w:t>
      </w:r>
      <w:r>
        <w:rPr>
          <w:rFonts w:ascii="Calibri" w:hAnsi="Calibri"/>
          <w:color w:val="525866"/>
          <w:sz w:val="22"/>
        </w:rPr>
        <w:t xml:space="preserve">DAL reported Q2 revenue growth of nearly 14% on only ~1% capacity growth, with passenger revenue per ASM up 11% YoY. CEO Ed Bastian stated demand is "strong and broad based" with "cash sales improved to the quarter across the entire booking curve in both premium and main cabin products." DAL guided Q3 revenue growth of mid-teens with total unit revenue growth expected to improve sequentially. </w:t>
      </w:r>
    </w:p>
    <w:p>
      <w:pPr>
        <w:pStyle w:val="ListBullet"/>
        <w:ind w:left="360" w:hanging="360"/>
      </w:pPr>
      <w:r>
        <w:rPr>
          <w:rFonts w:ascii="Calibri" w:hAnsi="Calibri"/>
          <w:b/>
          <w:color w:val="525866"/>
          <w:sz w:val="22"/>
        </w:rPr>
        <w:t xml:space="preserve">Fuel Recovery (Cautionary Read-Through): </w:t>
      </w:r>
      <w:r>
        <w:rPr>
          <w:rFonts w:ascii="Calibri" w:hAnsi="Calibri"/>
          <w:color w:val="525866"/>
          <w:sz w:val="22"/>
        </w:rPr>
        <w:t>DAL recovered ~60% of its fuel cost increase in Q2 (faster than historical norms), and expects to approach 100% recovery in Q3. CFO Erik Snell noted the industry is recovering fuel costs "at the fastest pace of any recent cycle." For LUV, which guided only ~40% fuel recovery in Q2 (per Bernstein, May 28), this suggests LUV may lag network carriers on fuel pass-through given its less-developed premium product mix.</w:t>
      </w:r>
    </w:p>
    <w:p>
      <w:pPr>
        <w:pStyle w:val="ListBullet"/>
        <w:ind w:left="360" w:hanging="360"/>
      </w:pPr>
      <w:r>
        <w:rPr>
          <w:rFonts w:ascii="Calibri" w:hAnsi="Calibri"/>
          <w:b/>
          <w:color w:val="525866"/>
          <w:sz w:val="22"/>
        </w:rPr>
        <w:t xml:space="preserve">Pricing Power (Positive Read-Through): </w:t>
      </w:r>
      <w:r>
        <w:rPr>
          <w:rFonts w:ascii="Calibri" w:hAnsi="Calibri"/>
          <w:color w:val="525866"/>
          <w:sz w:val="22"/>
        </w:rPr>
        <w:t>Bastian stated "airfares remain 10 to 15 points below overall inflation" and that "the low end of the market still has to increase fares by another 5% just to get to break even at today's fuel environment" — directly supportive of LUV's continued fare increase strategy. DAL guided full-year EPS of ~$7.00 (midpoint), ~17% above prior Street consensus of ~$5.97.</w:t>
      </w:r>
    </w:p>
    <w:p>
      <w:pPr>
        <w:pStyle w:val="ListBullet"/>
        <w:ind w:left="360" w:hanging="360"/>
      </w:pPr>
      <w:r>
        <w:rPr>
          <w:rFonts w:ascii="Calibri" w:hAnsi="Calibri"/>
          <w:b/>
          <w:color w:val="525866"/>
          <w:sz w:val="22"/>
        </w:rPr>
        <w:t xml:space="preserve">Premium vs. Main Cabin (Mixed Read-Through): </w:t>
      </w:r>
      <w:r>
        <w:rPr>
          <w:rFonts w:ascii="Calibri" w:hAnsi="Calibri"/>
          <w:color w:val="525866"/>
          <w:sz w:val="22"/>
        </w:rPr>
        <w:t>DAL noted its main cabin capacity is "actually down 2 to 3%" and will not grow next year, while premium revenue was 17% higher YoY. LUV's transformation is moving in this direction (buy-up rate surged from ~20% to ~60% in Q1 2026) but is earlier-stage, suggesting LUV's RASM upside may be more volume-driven than yield-driven relative to DAL.</w:t>
      </w:r>
    </w:p>
    <w:p>
      <w:pPr>
        <w:pStyle w:val="Heading3"/>
      </w:pPr>
      <w:r>
        <w:rPr>
          <w:rFonts w:ascii="Calibri" w:hAnsi="Calibri"/>
          <w:b/>
          <w:color w:val="3B4259"/>
          <w:sz w:val="24"/>
        </w:rPr>
        <w:t>United Airlines (UAL) — Q2 2026 Earnings (July 15–16, 2026)</w:t>
      </w:r>
    </w:p>
    <w:p>
      <w:pPr>
        <w:pStyle w:val="ListBullet"/>
        <w:ind w:left="360" w:hanging="360"/>
      </w:pPr>
      <w:r>
        <w:rPr>
          <w:rFonts w:ascii="Calibri" w:hAnsi="Calibri"/>
          <w:b/>
          <w:color w:val="525866"/>
          <w:sz w:val="22"/>
        </w:rPr>
        <w:t xml:space="preserve">Demand &amp; Forward Bookings (Strongly Positive Read-Through): </w:t>
      </w:r>
      <w:r>
        <w:rPr>
          <w:rFonts w:ascii="Calibri" w:hAnsi="Calibri"/>
          <w:color w:val="525866"/>
          <w:sz w:val="22"/>
        </w:rPr>
        <w:t>UAL reported Q2 domestic passenger revenue up 20.3% YoY. CEO Scott Kirby stated "we observed minimal to no negative impact on demand from higher price points, a trend we see continuing." Contracted business revenues were up 27% YoY in Q2, with bookings up 30%. Q4 yields are booked 14 percentage points higher than the prior year at the same booking point, and corporate demand in July is up 30%. UAL raised full-year EPS guidance to a midpoint of ~$10 (from ~$9 prior).</w:t>
      </w:r>
    </w:p>
    <w:p>
      <w:pPr>
        <w:pStyle w:val="ListBullet"/>
        <w:ind w:left="360" w:hanging="360"/>
      </w:pPr>
      <w:r>
        <w:rPr>
          <w:rFonts w:ascii="Calibri" w:hAnsi="Calibri"/>
          <w:b/>
          <w:color w:val="525866"/>
          <w:sz w:val="22"/>
        </w:rPr>
        <w:t xml:space="preserve">Fuel Recovery Trajectory (Key Read-Through): </w:t>
      </w:r>
      <w:r>
        <w:rPr>
          <w:rFonts w:ascii="Calibri" w:hAnsi="Calibri"/>
          <w:color w:val="525866"/>
          <w:sz w:val="22"/>
        </w:rPr>
        <w:t>UAL recovered "a little below 50%" of the fuel cost increase in Q2, expects 80–90% recovery in Q3, and "full recovery by Q4." Kirby also noted that "oil prices won't be as high as we feared" — a meaningful positive signal for LUV's fuel cost assumptions heading into Q2 reporting. UAL faced a $6 billion fuel cost headwind vs. initial guidance yet still raised full-year EPS.</w:t>
      </w:r>
    </w:p>
    <w:p>
      <w:pPr>
        <w:pStyle w:val="ListBullet"/>
        <w:ind w:left="360" w:hanging="360"/>
      </w:pPr>
      <w:r>
        <w:rPr>
          <w:rFonts w:ascii="Calibri" w:hAnsi="Calibri"/>
          <w:b/>
          <w:color w:val="525866"/>
          <w:sz w:val="22"/>
        </w:rPr>
        <w:t xml:space="preserve">Pricing Environment (Positive Read-Through): </w:t>
      </w:r>
      <w:r>
        <w:rPr>
          <w:rFonts w:ascii="Calibri" w:hAnsi="Calibri"/>
          <w:color w:val="525866"/>
          <w:sz w:val="22"/>
        </w:rPr>
        <w:t>UAL noted "the pricing environment remains strong across the entire network, with sell-in yields up mid-to-high teens year over year in recent weeks." Kirby stated airfares are "13% lower in real terms than pre-COVID levels despite recent increases" — consistent with LUV management's view that further fare increases are sustainable.</w:t>
      </w:r>
    </w:p>
    <w:p>
      <w:pPr>
        <w:pStyle w:val="ListBullet"/>
        <w:ind w:left="360" w:hanging="360"/>
      </w:pPr>
      <w:r>
        <w:rPr>
          <w:rFonts w:ascii="Calibri" w:hAnsi="Calibri"/>
          <w:b/>
          <w:color w:val="525866"/>
          <w:sz w:val="22"/>
        </w:rPr>
        <w:t xml:space="preserve">Capacity Discipline (Positive Read-Through): </w:t>
      </w:r>
      <w:r>
        <w:rPr>
          <w:rFonts w:ascii="Calibri" w:hAnsi="Calibri"/>
          <w:color w:val="525866"/>
          <w:sz w:val="22"/>
        </w:rPr>
        <w:t>UAL "tactically pulled some capacity" in response to fuel prices and noted Q4 domestic schedules "will be adjusted downward." Industry capacity discipline is a structural positive for LUV's RASM.</w:t>
      </w:r>
    </w:p>
    <w:p>
      <w:pPr>
        <w:pStyle w:val="Heading3"/>
      </w:pPr>
      <w:r>
        <w:rPr>
          <w:rFonts w:ascii="Calibri" w:hAnsi="Calibri"/>
          <w:b/>
          <w:color w:val="3B4259"/>
          <w:sz w:val="24"/>
        </w:rPr>
        <w:t>Alaska Air Group (ALK) — Q2 2026 Earnings Release (July 21, 2026) &amp; TD Cowen Conference (June 3, 2026)</w:t>
      </w:r>
    </w:p>
    <w:p>
      <w:pPr>
        <w:pStyle w:val="ListBullet"/>
        <w:ind w:left="360" w:hanging="360"/>
      </w:pPr>
      <w:r>
        <w:rPr>
          <w:rFonts w:ascii="Calibri" w:hAnsi="Calibri"/>
          <w:b/>
          <w:color w:val="525866"/>
          <w:sz w:val="22"/>
        </w:rPr>
        <w:t xml:space="preserve">Q2 2026 Results (Mixed Read-Through): </w:t>
      </w:r>
      <w:r>
        <w:rPr>
          <w:rFonts w:ascii="Calibri" w:hAnsi="Calibri"/>
          <w:color w:val="525866"/>
          <w:sz w:val="22"/>
        </w:rPr>
        <w:t>ALK reported Q2 EPS of -$0.92, better than its prior guidance of -$1.00, but still deeply negative as fuel headwinds and weather-related issues offset decent operational performance and RASM gains. Q3 guidance EPS midpoint of $0.50 fell significantly short of Street expectations of $1.48. This is a cautionary signal — even airlines with strong demand are struggling to fully offset fuel costs in Q2, and Q3 guidance misses suggest the recovery timeline may be slower than the Street expects.</w:t>
      </w:r>
    </w:p>
    <w:p>
      <w:pPr>
        <w:pStyle w:val="ListBullet"/>
        <w:ind w:left="360" w:hanging="360"/>
      </w:pPr>
      <w:r>
        <w:rPr>
          <w:rFonts w:ascii="Calibri" w:hAnsi="Calibri"/>
          <w:b/>
          <w:color w:val="525866"/>
          <w:sz w:val="22"/>
        </w:rPr>
        <w:t xml:space="preserve">Corporate Travel (Positive Read-Through): </w:t>
      </w:r>
      <w:r>
        <w:rPr>
          <w:rFonts w:ascii="Calibri" w:hAnsi="Calibri"/>
          <w:color w:val="525866"/>
          <w:sz w:val="22"/>
        </w:rPr>
        <w:t>At the TD Cowen conference (June 3), ALK stated corporate bookings for the next 90 days were up 25–30% YoY, with "the summer going to be a strong summer." This is consistent with LUV's own corporate revenue trends (managed corporate revenue up 16% in Q1, 25% in March).</w:t>
      </w:r>
    </w:p>
    <w:p>
      <w:pPr>
        <w:pStyle w:val="ListBullet"/>
        <w:ind w:left="360" w:hanging="360"/>
      </w:pPr>
      <w:r>
        <w:rPr>
          <w:rFonts w:ascii="Calibri" w:hAnsi="Calibri"/>
          <w:b/>
          <w:color w:val="525866"/>
          <w:sz w:val="22"/>
        </w:rPr>
        <w:t xml:space="preserve">Demand &amp; Fares (Positive Read-Through): </w:t>
      </w:r>
      <w:r>
        <w:rPr>
          <w:rFonts w:ascii="Calibri" w:hAnsi="Calibri"/>
          <w:color w:val="525866"/>
          <w:sz w:val="22"/>
        </w:rPr>
        <w:t>ALK (June 6 news) confirmed "summer demand remains strong" and that "higher fares and resilient demand should help offset most of the fuel hit in the second half." ALK noted it expected to recover only a portion of fuel costs in Q2, consistent with LUV's ~40% guided recovery.</w:t>
      </w:r>
    </w:p>
    <w:p>
      <w:pPr>
        <w:pStyle w:val="Heading3"/>
      </w:pPr>
      <w:r>
        <w:rPr>
          <w:rFonts w:ascii="Calibri" w:hAnsi="Calibri"/>
          <w:b/>
          <w:color w:val="3B4259"/>
          <w:sz w:val="24"/>
        </w:rPr>
        <w:t>American Airlines (AAL) — Bernstein Conference (May 27, 2026)</w:t>
      </w:r>
    </w:p>
    <w:p>
      <w:pPr>
        <w:pStyle w:val="ListBullet"/>
        <w:ind w:left="360" w:hanging="360"/>
      </w:pPr>
      <w:r>
        <w:rPr>
          <w:rFonts w:ascii="Calibri" w:hAnsi="Calibri"/>
          <w:b/>
          <w:color w:val="525866"/>
          <w:sz w:val="22"/>
        </w:rPr>
        <w:t xml:space="preserve">Demand (Positive Read-Through): </w:t>
      </w:r>
      <w:r>
        <w:rPr>
          <w:rFonts w:ascii="Calibri" w:hAnsi="Calibri"/>
          <w:color w:val="525866"/>
          <w:sz w:val="22"/>
        </w:rPr>
        <w:t>CEO Robert Isom stated "I feel great about demand overall" and that "no matter what end of the spectrum you're at, people want to travel." AAL was ~80% booked for Q2 as of May 27, with managed corporate revenue up 13% YoY. AAL anticipated Q2 revenue up 15% YoY on 5% capacity growth, implying ~10% unit revenue growth.</w:t>
      </w:r>
    </w:p>
    <w:p>
      <w:pPr>
        <w:pStyle w:val="ListBullet"/>
        <w:ind w:left="360" w:hanging="360"/>
      </w:pPr>
      <w:r>
        <w:rPr>
          <w:rFonts w:ascii="Calibri" w:hAnsi="Calibri"/>
          <w:b/>
          <w:color w:val="525866"/>
          <w:sz w:val="22"/>
        </w:rPr>
        <w:t xml:space="preserve">Fuel &amp; Cost Pressure (Cautionary Read-Through): </w:t>
      </w:r>
      <w:r>
        <w:rPr>
          <w:rFonts w:ascii="Calibri" w:hAnsi="Calibri"/>
          <w:color w:val="525866"/>
          <w:sz w:val="22"/>
        </w:rPr>
        <w:t>Isom acknowledged "it's not just fuel that has been a cost pressure — there's been cost pressure in many other areas." AAL noted the ULCC business model is under stress as costs for aircraft, labor, and gates "were eventually going to catch up." This is a structural positive for LUV's competitive positioning as Spirit's exit removes low-fare capacity.</w:t>
      </w:r>
    </w:p>
    <w:p>
      <w:pPr>
        <w:pStyle w:val="ListBullet"/>
        <w:ind w:left="360" w:hanging="360"/>
      </w:pPr>
      <w:r>
        <w:rPr>
          <w:rFonts w:ascii="Calibri" w:hAnsi="Calibri"/>
          <w:b/>
          <w:color w:val="525866"/>
          <w:sz w:val="22"/>
        </w:rPr>
        <w:t xml:space="preserve">M&amp;A (Neutral): </w:t>
      </w:r>
      <w:r>
        <w:rPr>
          <w:rFonts w:ascii="Calibri" w:hAnsi="Calibri"/>
          <w:color w:val="525866"/>
          <w:sz w:val="22"/>
        </w:rPr>
        <w:t>AAL CEO ruled out a merger with United, calling it "anti-competitive" — no read-through for LUV.</w:t>
      </w:r>
    </w:p>
    <w:p>
      <w:pPr>
        <w:pStyle w:val="Heading3"/>
      </w:pPr>
      <w:r>
        <w:rPr>
          <w:rFonts w:ascii="Calibri" w:hAnsi="Calibri"/>
          <w:b/>
          <w:color w:val="3B4259"/>
          <w:sz w:val="24"/>
        </w:rPr>
        <w:t>JetBlue (JBLU) — Bloomberg Interview (June 6, 2026) &amp; Fuel Update (June 1, 2026)</w:t>
      </w:r>
    </w:p>
    <w:p>
      <w:pPr>
        <w:pStyle w:val="ListBullet"/>
        <w:ind w:left="360" w:hanging="360"/>
      </w:pPr>
      <w:r>
        <w:rPr>
          <w:rFonts w:ascii="Calibri" w:hAnsi="Calibri"/>
          <w:b/>
          <w:color w:val="525866"/>
          <w:sz w:val="22"/>
        </w:rPr>
        <w:t xml:space="preserve">Fuel Costs (Cautionary Read-Through): </w:t>
      </w:r>
      <w:r>
        <w:rPr>
          <w:rFonts w:ascii="Calibri" w:hAnsi="Calibri"/>
          <w:color w:val="525866"/>
          <w:sz w:val="22"/>
        </w:rPr>
        <w:t>JBLU raised its Q2 fuel cost forecast to $4.26–$4.36/gallon (from $4.13–$4.28 prior) on June 1, citing rising jet fuel prices and Strait of Hormuz disruptions. JBLU noted it expected to recoup only ~40% of fuel cost increases in Q2 — the same recovery rate LUV guided. This validates LUV's fuel recovery assumption but also confirms the headwind is real and broad-based.</w:t>
      </w:r>
    </w:p>
    <w:p>
      <w:pPr>
        <w:pStyle w:val="ListBullet"/>
        <w:ind w:left="360" w:hanging="360"/>
      </w:pPr>
      <w:r>
        <w:rPr>
          <w:rFonts w:ascii="Calibri" w:hAnsi="Calibri"/>
          <w:b/>
          <w:color w:val="525866"/>
          <w:sz w:val="22"/>
        </w:rPr>
        <w:t xml:space="preserve">Demand (Positive Read-Through): </w:t>
      </w:r>
      <w:r>
        <w:rPr>
          <w:rFonts w:ascii="Calibri" w:hAnsi="Calibri"/>
          <w:color w:val="525866"/>
          <w:sz w:val="22"/>
        </w:rPr>
        <w:t>CEO Joanna Geraghty (June 6) confirmed "robust travel demand, particularly for summer" and that JBLU is prioritizing organic growth and profitability. Fort Lauderdale expansion (new lounge, international routes) is directionally consistent with LUV's own lounge and network expansion strategy.</w:t>
      </w:r>
    </w:p>
    <w:p>
      <w:pPr>
        <w:pStyle w:val="ListBullet"/>
        <w:ind w:left="360" w:hanging="360"/>
      </w:pPr>
      <w:r>
        <w:rPr>
          <w:rFonts w:ascii="Calibri" w:hAnsi="Calibri"/>
          <w:b/>
          <w:color w:val="525866"/>
          <w:sz w:val="22"/>
        </w:rPr>
        <w:t xml:space="preserve">Financial Weakness (Cautionary Context): </w:t>
      </w:r>
      <w:r>
        <w:rPr>
          <w:rFonts w:ascii="Calibri" w:hAnsi="Calibri"/>
          <w:color w:val="525866"/>
          <w:sz w:val="22"/>
        </w:rPr>
        <w:t>JBLU's stock fell ~6% on July 7 as oil prices rose, with Barron's noting JBLU "is less well positioned to absorb higher jet fuel prices" given its weak financials. LUV is in a stronger financial position than JBLU but faces similar fuel exposure as a domestic-focused, less-premium carrier.</w:t>
      </w:r>
    </w:p>
    <w:p>
      <w:pPr>
        <w:pStyle w:val="Heading3"/>
      </w:pPr>
      <w:r>
        <w:rPr>
          <w:rFonts w:ascii="Calibri" w:hAnsi="Calibri"/>
          <w:b/>
          <w:color w:val="3B4259"/>
          <w:sz w:val="24"/>
        </w:rPr>
        <w:t>Delta Air Lines (DAL) — TD Cowen Future of the Consumer Conference (June 3, 2026)</w:t>
      </w:r>
    </w:p>
    <w:p>
      <w:pPr>
        <w:pStyle w:val="ListBullet"/>
        <w:ind w:left="360" w:hanging="360"/>
      </w:pPr>
      <w:r>
        <w:rPr>
          <w:rFonts w:ascii="Calibri" w:hAnsi="Calibri"/>
          <w:b/>
          <w:color w:val="525866"/>
          <w:sz w:val="22"/>
        </w:rPr>
        <w:t xml:space="preserve">Corporate Travel &amp; Domestic Demand (Positive Read-Through): </w:t>
      </w:r>
      <w:r>
        <w:rPr>
          <w:rFonts w:ascii="Calibri" w:hAnsi="Calibri"/>
          <w:color w:val="525866"/>
          <w:sz w:val="22"/>
        </w:rPr>
        <w:t>DAL noted domestic corporate sales are on "a really good trajectory" with cities like Los Angeles and Boston up ~30% YoY. DAL saw a 3x increase in days with over $100M in direct cash sales YTD vs. the prior year. Forward cash sales and bookings are "higher than close-in" — a positive leading indicator for Q2 and Q3.</w:t>
      </w:r>
    </w:p>
    <w:p>
      <w:pPr>
        <w:pStyle w:val="ListBullet"/>
        <w:ind w:left="360" w:hanging="360"/>
      </w:pPr>
      <w:r>
        <w:rPr>
          <w:rFonts w:ascii="Calibri" w:hAnsi="Calibri"/>
          <w:b/>
          <w:color w:val="525866"/>
          <w:sz w:val="22"/>
        </w:rPr>
        <w:t xml:space="preserve">Capacity Constraints (Positive Read-Through): </w:t>
      </w:r>
      <w:r>
        <w:rPr>
          <w:rFonts w:ascii="Calibri" w:hAnsi="Calibri"/>
          <w:color w:val="525866"/>
          <w:sz w:val="22"/>
        </w:rPr>
        <w:t>DAL confirmed "availability of aircraft is a fairly significant constraint" and that engine supply issues mean capacity will remain structurally constrained globally "for many years." This supply-demand imbalance is a durable tailwind for LUV's RASM.</w:t>
      </w:r>
    </w:p>
    <w:p>
      <w:pPr>
        <w:pStyle w:val="Heading3"/>
      </w:pPr>
      <w:r>
        <w:rPr>
          <w:rFonts w:ascii="Calibri" w:hAnsi="Calibri"/>
          <w:b/>
          <w:color w:val="3B4259"/>
          <w:sz w:val="24"/>
        </w:rPr>
        <w:t>United Airlines (UAL) — Bernstein Conference (May 27, 2026)</w:t>
      </w:r>
    </w:p>
    <w:p>
      <w:pPr>
        <w:pStyle w:val="ListBullet"/>
        <w:ind w:left="360" w:hanging="360"/>
      </w:pPr>
      <w:r>
        <w:rPr>
          <w:rFonts w:ascii="Calibri" w:hAnsi="Calibri"/>
          <w:b/>
          <w:color w:val="525866"/>
          <w:sz w:val="22"/>
        </w:rPr>
        <w:t xml:space="preserve">Structural Capacity Constraints (Positive Read-Through): </w:t>
      </w:r>
      <w:r>
        <w:rPr>
          <w:rFonts w:ascii="Calibri" w:hAnsi="Calibri"/>
          <w:color w:val="525866"/>
          <w:sz w:val="22"/>
        </w:rPr>
        <w:t>CEO Scott Kirby highlighted a critical long-term constraint: "there's still 800 or 900 aircraft around the globe that are grounded for engines... that is not getting fixed this decade." Boeing and Airbus delivery delays mean gauge increases "are yet to come." This structural supply constraint is a multi-year tailwind for industry RASM.</w:t>
      </w:r>
    </w:p>
    <w:p>
      <w:pPr>
        <w:pStyle w:val="ListBullet"/>
        <w:ind w:left="360" w:hanging="360"/>
      </w:pPr>
      <w:r>
        <w:rPr>
          <w:rFonts w:ascii="Calibri" w:hAnsi="Calibri"/>
          <w:b/>
          <w:color w:val="525866"/>
          <w:sz w:val="22"/>
        </w:rPr>
        <w:t xml:space="preserve">Demand Resilience (Positive Read-Through): </w:t>
      </w:r>
      <w:r>
        <w:rPr>
          <w:rFonts w:ascii="Calibri" w:hAnsi="Calibri"/>
          <w:color w:val="525866"/>
          <w:sz w:val="22"/>
        </w:rPr>
        <w:t>UAL stated "demand has remained strong" with "no significant negative response to higher fuel prices." UAL noted airport capacity caps in New York and Chicago are extended for another year — a structural positive for pricing in key markets where LUV also operates.</w:t>
      </w:r>
    </w:p>
    <w:p>
      <w:r>
        <w:rPr>
          <w:rFonts w:ascii="Calibri" w:hAnsi="Calibri"/>
          <w:b/>
          <w:color w:val="525866"/>
          <w:sz w:val="22"/>
        </w:rPr>
        <w:t>Summary Read-Through Table: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Signal</w:t>
            </w:r>
          </w:p>
        </w:tc>
        <w:tc>
          <w:tcPr>
            <w:tcW w:type="dxa" w:w="2880"/>
            <w:shd w:val="clear" w:color="auto" w:fill="3B4259"/>
          </w:tcPr>
          <w:p>
            <w:r>
              <w:rPr>
                <w:rFonts w:ascii="Calibri" w:hAnsi="Calibri"/>
                <w:b/>
                <w:color w:val="FFFFFF"/>
                <w:sz w:val="22"/>
              </w:rPr>
              <w:t>LUV Implication</w:t>
            </w:r>
          </w:p>
        </w:tc>
      </w:tr>
      <w:tr>
        <w:tc>
          <w:tcPr>
            <w:tcW w:type="dxa" w:w="2880"/>
          </w:tcPr>
          <w:p>
            <w:r>
              <w:rPr>
                <w:rFonts w:ascii="Calibri" w:hAnsi="Calibri"/>
                <w:sz w:val="22"/>
              </w:rPr>
              <w:t>Q2 Demand / RASM</w:t>
            </w:r>
          </w:p>
        </w:tc>
        <w:tc>
          <w:tcPr>
            <w:tcW w:type="dxa" w:w="2880"/>
          </w:tcPr>
          <w:p>
            <w:r>
              <w:rPr>
                <w:rFonts w:ascii="Calibri" w:hAnsi="Calibri"/>
                <w:b/>
                <w:color w:val="30A46C"/>
                <w:sz w:val="22"/>
              </w:rPr>
              <w:t>Positive</w:t>
            </w:r>
          </w:p>
        </w:tc>
        <w:tc>
          <w:tcPr>
            <w:tcW w:type="dxa" w:w="2880"/>
          </w:tcPr>
          <w:p>
            <w:r>
              <w:rPr>
                <w:rFonts w:ascii="Calibri" w:hAnsi="Calibri"/>
                <w:sz w:val="22"/>
              </w:rPr>
              <w:t>Supports RASM at high end of +16.5–18.5% guidance range</w:t>
            </w:r>
          </w:p>
        </w:tc>
      </w:tr>
      <w:tr>
        <w:tc>
          <w:tcPr>
            <w:tcW w:type="dxa" w:w="2880"/>
          </w:tcPr>
          <w:p>
            <w:r>
              <w:rPr>
                <w:rFonts w:ascii="Calibri" w:hAnsi="Calibri"/>
                <w:sz w:val="22"/>
              </w:rPr>
              <w:t>Corporate Travel</w:t>
            </w:r>
          </w:p>
        </w:tc>
        <w:tc>
          <w:tcPr>
            <w:tcW w:type="dxa" w:w="2880"/>
          </w:tcPr>
          <w:p>
            <w:r>
              <w:rPr>
                <w:rFonts w:ascii="Calibri" w:hAnsi="Calibri"/>
                <w:b/>
                <w:color w:val="30A46C"/>
                <w:sz w:val="22"/>
              </w:rPr>
              <w:t>Positive</w:t>
            </w:r>
          </w:p>
        </w:tc>
        <w:tc>
          <w:tcPr>
            <w:tcW w:type="dxa" w:w="2880"/>
          </w:tcPr>
          <w:p>
            <w:r>
              <w:rPr>
                <w:rFonts w:ascii="Calibri" w:hAnsi="Calibri"/>
                <w:sz w:val="22"/>
              </w:rPr>
              <w:t>Consistent with LUV's managed corporate revenue record in Q1; trend likely sustained</w:t>
            </w:r>
          </w:p>
        </w:tc>
      </w:tr>
      <w:tr>
        <w:tc>
          <w:tcPr>
            <w:tcW w:type="dxa" w:w="2880"/>
          </w:tcPr>
          <w:p>
            <w:r>
              <w:rPr>
                <w:rFonts w:ascii="Calibri" w:hAnsi="Calibri"/>
                <w:sz w:val="22"/>
              </w:rPr>
              <w:t>Fuel Cost Recovery</w:t>
            </w:r>
          </w:p>
        </w:tc>
        <w:tc>
          <w:tcPr>
            <w:tcW w:type="dxa" w:w="2880"/>
          </w:tcPr>
          <w:p>
            <w:r>
              <w:rPr>
                <w:rFonts w:ascii="Calibri" w:hAnsi="Calibri"/>
                <w:b/>
                <w:color w:val="002FA7"/>
                <w:sz w:val="22"/>
              </w:rPr>
              <w:t>Mixed</w:t>
            </w:r>
          </w:p>
        </w:tc>
        <w:tc>
          <w:tcPr>
            <w:tcW w:type="dxa" w:w="2880"/>
          </w:tcPr>
          <w:p>
            <w:r>
              <w:rPr>
                <w:rFonts w:ascii="Calibri" w:hAnsi="Calibri"/>
                <w:sz w:val="22"/>
              </w:rPr>
              <w:t>Network carriers recovering faster (DAL ~60%, UAL ~50%); LUV guided ~40% — premium product gap</w:t>
            </w:r>
          </w:p>
        </w:tc>
      </w:tr>
      <w:tr>
        <w:tc>
          <w:tcPr>
            <w:tcW w:type="dxa" w:w="2880"/>
          </w:tcPr>
          <w:p>
            <w:r>
              <w:rPr>
                <w:rFonts w:ascii="Calibri" w:hAnsi="Calibri"/>
                <w:sz w:val="22"/>
              </w:rPr>
              <w:t>Fuel Price Trajectory</w:t>
            </w:r>
          </w:p>
        </w:tc>
        <w:tc>
          <w:tcPr>
            <w:tcW w:type="dxa" w:w="2880"/>
          </w:tcPr>
          <w:p>
            <w:r>
              <w:rPr>
                <w:rFonts w:ascii="Calibri" w:hAnsi="Calibri"/>
                <w:b/>
                <w:color w:val="002FA7"/>
                <w:sz w:val="22"/>
              </w:rPr>
              <w:t>Cautiously Positive</w:t>
            </w:r>
          </w:p>
        </w:tc>
        <w:tc>
          <w:tcPr>
            <w:tcW w:type="dxa" w:w="2880"/>
          </w:tcPr>
          <w:p>
            <w:r>
              <w:rPr>
                <w:rFonts w:ascii="Calibri" w:hAnsi="Calibri"/>
                <w:sz w:val="22"/>
              </w:rPr>
              <w:t>UAL CEO: "oil prices won't be as high as we feared"; easing from April peak is a tailwind vs. LUV's $4.10–4.15 assumption</w:t>
            </w:r>
          </w:p>
        </w:tc>
      </w:tr>
      <w:tr>
        <w:tc>
          <w:tcPr>
            <w:tcW w:type="dxa" w:w="2880"/>
          </w:tcPr>
          <w:p>
            <w:r>
              <w:rPr>
                <w:rFonts w:ascii="Calibri" w:hAnsi="Calibri"/>
                <w:sz w:val="22"/>
              </w:rPr>
              <w:t>Capacity Discipline</w:t>
            </w:r>
          </w:p>
        </w:tc>
        <w:tc>
          <w:tcPr>
            <w:tcW w:type="dxa" w:w="2880"/>
          </w:tcPr>
          <w:p>
            <w:r>
              <w:rPr>
                <w:rFonts w:ascii="Calibri" w:hAnsi="Calibri"/>
                <w:b/>
                <w:color w:val="30A46C"/>
                <w:sz w:val="22"/>
              </w:rPr>
              <w:t>Positive</w:t>
            </w:r>
          </w:p>
        </w:tc>
        <w:tc>
          <w:tcPr>
            <w:tcW w:type="dxa" w:w="2880"/>
          </w:tcPr>
          <w:p>
            <w:r>
              <w:rPr>
                <w:rFonts w:ascii="Calibri" w:hAnsi="Calibri"/>
                <w:sz w:val="22"/>
              </w:rPr>
              <w:t>Industry-wide capacity restraint (engine shortages, delivery delays, Spirit exit) supports pricing power</w:t>
            </w:r>
          </w:p>
        </w:tc>
      </w:tr>
      <w:tr>
        <w:tc>
          <w:tcPr>
            <w:tcW w:type="dxa" w:w="2880"/>
          </w:tcPr>
          <w:p>
            <w:r>
              <w:rPr>
                <w:rFonts w:ascii="Calibri" w:hAnsi="Calibri"/>
                <w:sz w:val="22"/>
              </w:rPr>
              <w:t>Pricing Power / Fare Increases</w:t>
            </w:r>
          </w:p>
        </w:tc>
        <w:tc>
          <w:tcPr>
            <w:tcW w:type="dxa" w:w="2880"/>
          </w:tcPr>
          <w:p>
            <w:r>
              <w:rPr>
                <w:rFonts w:ascii="Calibri" w:hAnsi="Calibri"/>
                <w:b/>
                <w:color w:val="30A46C"/>
                <w:sz w:val="22"/>
              </w:rPr>
              <w:t>Positive</w:t>
            </w:r>
          </w:p>
        </w:tc>
        <w:tc>
          <w:tcPr>
            <w:tcW w:type="dxa" w:w="2880"/>
          </w:tcPr>
          <w:p>
            <w:r>
              <w:rPr>
                <w:rFonts w:ascii="Calibri" w:hAnsi="Calibri"/>
                <w:sz w:val="22"/>
              </w:rPr>
              <w:t>Airfares still below inflation; further increases sustainable per DAL, UAL, AAL</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Iran conflict-driven fuel spike</w:t>
      </w:r>
      <w:r>
        <w:rPr>
          <w:rFonts w:ascii="Calibri" w:hAnsi="Calibri"/>
          <w:color w:val="525866"/>
          <w:sz w:val="22"/>
        </w:rPr>
        <w:t xml:space="preserve"> (jet fuel +50% at peak), which has since partially reversed — the direction of fuel from here is the single biggest swing factor for both Q2 results and the full-year guide update.</w:t>
      </w:r>
    </w:p>
    <w:p>
      <w:pPr>
        <w:pStyle w:val="ListBullet"/>
        <w:ind w:left="360" w:hanging="360"/>
      </w:pPr>
      <w:r>
        <w:rPr>
          <w:rFonts w:ascii="Calibri" w:hAnsi="Calibri"/>
          <w:b/>
          <w:color w:val="525866"/>
          <w:sz w:val="22"/>
        </w:rPr>
        <w:t xml:space="preserve">May 28, 2026 — Bernstein Strategic Decisions Conference (LUV): </w:t>
      </w:r>
      <w:r>
        <w:rPr>
          <w:rFonts w:ascii="Calibri" w:hAnsi="Calibri"/>
          <w:color w:val="525866"/>
          <w:sz w:val="22"/>
        </w:rPr>
        <w:t xml:space="preserve">CEO Bob Jordan confirmed 7 consecutive broad industry-wide fare increases since February 1 ("the most in my 38-year career"), all of which "stuck." Demand is "really strong" across all geographies and customer segments with "no drop off." March business revenue trends (+25% YoY) have "sustained in April and May." Management expects to cover ~40% of fuel cost increases in Q2 and is "increasingly bullish" on full fuel recovery over time. Implication: </w:t>
      </w:r>
      <w:r>
        <w:rPr>
          <w:rFonts w:ascii="Calibri" w:hAnsi="Calibri"/>
          <w:i/>
          <w:color w:val="525866"/>
          <w:sz w:val="22"/>
        </w:rPr>
        <w:t>Validates RASM guidance and confirms the transformation is on track.</w:t>
      </w:r>
    </w:p>
    <w:p>
      <w:pPr>
        <w:pStyle w:val="ListBullet"/>
        <w:ind w:left="360" w:hanging="360"/>
      </w:pPr>
      <w:r>
        <w:rPr>
          <w:rFonts w:ascii="Calibri" w:hAnsi="Calibri"/>
          <w:b/>
          <w:color w:val="525866"/>
          <w:sz w:val="22"/>
        </w:rPr>
        <w:t xml:space="preserve">May 2026 — Term Loan Expansion: </w:t>
      </w:r>
      <w:r>
        <w:rPr>
          <w:rFonts w:ascii="Calibri" w:hAnsi="Calibri"/>
          <w:color w:val="525866"/>
          <w:sz w:val="22"/>
        </w:rPr>
        <w:t xml:space="preserve">Southwest expanded its secured term loan facility by adding incremental term loans, bringing total outstanding to ~$1.5B. The company ended Q1 with liquidity above its ~$4.5B target and leverage within its 1x–2.5x gross debt/EBITDAR guardrails. Implication: </w:t>
      </w:r>
      <w:r>
        <w:rPr>
          <w:rFonts w:ascii="Calibri" w:hAnsi="Calibri"/>
          <w:i/>
          <w:color w:val="525866"/>
          <w:sz w:val="22"/>
        </w:rPr>
        <w:t>Balance sheet remains investment-grade; no near-term financial stress.</w:t>
      </w:r>
    </w:p>
    <w:p>
      <w:pPr>
        <w:pStyle w:val="ListBullet"/>
        <w:ind w:left="360" w:hanging="360"/>
      </w:pPr>
      <w:r>
        <w:rPr>
          <w:rFonts w:ascii="Calibri" w:hAnsi="Calibri"/>
          <w:b/>
          <w:color w:val="525866"/>
          <w:sz w:val="22"/>
        </w:rPr>
        <w:t xml:space="preserve">June 2026 — O’Hare &amp; Dulles Suspension: </w:t>
      </w:r>
      <w:r>
        <w:rPr>
          <w:rFonts w:ascii="Calibri" w:hAnsi="Calibri"/>
          <w:color w:val="525866"/>
          <w:sz w:val="22"/>
        </w:rPr>
        <w:t xml:space="preserve">Southwest suspended operations at Chicago O’Hare and Washington Dulles in June, consolidating into Chicago Midway, Reagan National, and Baltimore. Capacity redeployed to higher-performing markets (San Diego, Austin, Nashville). Implication: </w:t>
      </w:r>
      <w:r>
        <w:rPr>
          <w:rFonts w:ascii="Calibri" w:hAnsi="Calibri"/>
          <w:i/>
          <w:color w:val="525866"/>
          <w:sz w:val="22"/>
        </w:rPr>
        <w:t>Network optimization is ongoing and should improve RASM mix in Q2 and beyond.</w:t>
      </w:r>
    </w:p>
    <w:p>
      <w:pPr>
        <w:pStyle w:val="ListBullet"/>
        <w:ind w:left="360" w:hanging="360"/>
      </w:pPr>
      <w:r>
        <w:rPr>
          <w:rFonts w:ascii="Calibri" w:hAnsi="Calibri"/>
          <w:b/>
          <w:color w:val="525866"/>
          <w:sz w:val="22"/>
        </w:rPr>
        <w:t xml:space="preserve">April 2026 — Caribbean Expansion: </w:t>
      </w:r>
      <w:r>
        <w:rPr>
          <w:rFonts w:ascii="Calibri" w:hAnsi="Calibri"/>
          <w:color w:val="525866"/>
          <w:sz w:val="22"/>
        </w:rPr>
        <w:t xml:space="preserve">Southwest launched new service to St. Maarten (from Orlando and Baltimore/Washington) and St. Thomas, representing the airline's most significant international expansion in recent years. Implication: </w:t>
      </w:r>
      <w:r>
        <w:rPr>
          <w:rFonts w:ascii="Calibri" w:hAnsi="Calibri"/>
          <w:i/>
          <w:color w:val="525866"/>
          <w:sz w:val="22"/>
        </w:rPr>
        <w:t>Incremental revenue opportunity; management cited Caribbean as a high-demand market.</w:t>
      </w:r>
    </w:p>
    <w:p>
      <w:pPr>
        <w:pStyle w:val="ListBullet"/>
        <w:ind w:left="360" w:hanging="360"/>
      </w:pPr>
      <w:r>
        <w:rPr>
          <w:rFonts w:ascii="Calibri" w:hAnsi="Calibri"/>
          <w:b/>
          <w:color w:val="525866"/>
          <w:sz w:val="22"/>
        </w:rPr>
        <w:t xml:space="preserve">Ongoing — Starlink In-Flight Connectivity Rollout: </w:t>
      </w:r>
      <w:r>
        <w:rPr>
          <w:rFonts w:ascii="Calibri" w:hAnsi="Calibri"/>
          <w:color w:val="525866"/>
          <w:sz w:val="22"/>
        </w:rPr>
        <w:t xml:space="preserve">Southwest's Starlink partnership is being rolled out across the fleet, with a significant portion expected to be equipped by year-end. Management identified fast WiFi as one of the top two remaining reasons customers would choose a competitor. Implication: </w:t>
      </w:r>
      <w:r>
        <w:rPr>
          <w:rFonts w:ascii="Calibri" w:hAnsi="Calibri"/>
          <w:i/>
          <w:color w:val="525866"/>
          <w:sz w:val="22"/>
        </w:rPr>
        <w:t>Positive for customer satisfaction scores and loyalty metrics; incremental revenue potential.</w:t>
      </w:r>
    </w:p>
    <w:p>
      <w:pPr>
        <w:pStyle w:val="ListBullet"/>
        <w:ind w:left="360" w:hanging="360"/>
      </w:pPr>
      <w:r>
        <w:rPr>
          <w:rFonts w:ascii="Calibri" w:hAnsi="Calibri"/>
          <w:b/>
          <w:color w:val="525866"/>
          <w:sz w:val="22"/>
        </w:rPr>
        <w:t xml:space="preserve">Ongoing — Lounge Development: </w:t>
      </w:r>
      <w:r>
        <w:rPr>
          <w:rFonts w:ascii="Calibri" w:hAnsi="Calibri"/>
          <w:color w:val="525866"/>
          <w:sz w:val="22"/>
        </w:rPr>
        <w:t xml:space="preserve">Southwest is actively leasing lounge space across multiple cities (confirmed: Honolulu, Nashville, Denver, Austin, Dallas Love Field). Management identified a lounge network as the second top reason customers choose competitors. Implication: </w:t>
      </w:r>
      <w:r>
        <w:rPr>
          <w:rFonts w:ascii="Calibri" w:hAnsi="Calibri"/>
          <w:i/>
          <w:color w:val="525866"/>
          <w:sz w:val="22"/>
        </w:rPr>
        <w:t>Next major phase of product transformation; not yet in numbers but a positive long-term signal.</w:t>
      </w:r>
    </w:p>
    <w:p>
      <w:pPr>
        <w:pStyle w:val="ListBullet"/>
        <w:ind w:left="360" w:hanging="360"/>
      </w:pPr>
      <w:r>
        <w:rPr>
          <w:rFonts w:ascii="Calibri" w:hAnsi="Calibri"/>
          <w:b/>
          <w:color w:val="525866"/>
          <w:sz w:val="22"/>
        </w:rPr>
        <w:t xml:space="preserve">July 7, 2026 — Iran Tensions Re-Escalate / Fuel Spike: </w:t>
      </w:r>
      <w:r>
        <w:rPr>
          <w:rFonts w:ascii="Calibri" w:hAnsi="Calibri"/>
          <w:color w:val="525866"/>
          <w:sz w:val="22"/>
        </w:rPr>
        <w:t xml:space="preserve">President Trump declared the Iran ceasefire over, driving oil prices higher. Airline stocks sold off broadly, with JBLU falling ~6% and LUV declining ~3%. UAL CEO subsequently noted (July 16) that "oil prices won't be as high as we feared" — suggesting the spike may be partially reversing. Implication: </w:t>
      </w:r>
      <w:r>
        <w:rPr>
          <w:rFonts w:ascii="Calibri" w:hAnsi="Calibri"/>
          <w:i/>
          <w:color w:val="525866"/>
          <w:sz w:val="22"/>
        </w:rPr>
        <w:t>Fuel remains the key wildcard; any easing vs. the $4.10–4.15/gal Q2 assumption is a positive EPS surprise.</w:t>
      </w:r>
    </w:p>
    <w:p>
      <w:pPr>
        <w:pStyle w:val="ListBullet"/>
        <w:ind w:left="360" w:hanging="360"/>
      </w:pPr>
      <w:r>
        <w:rPr>
          <w:rFonts w:ascii="Calibri" w:hAnsi="Calibri"/>
          <w:b/>
          <w:color w:val="525866"/>
          <w:sz w:val="22"/>
        </w:rPr>
        <w:t xml:space="preserve">July 10, 2026 — Delta Q2 Earnings Beat / Bullish Q3 Guide: </w:t>
      </w:r>
      <w:r>
        <w:rPr>
          <w:rFonts w:ascii="Calibri" w:hAnsi="Calibri"/>
          <w:color w:val="525866"/>
          <w:sz w:val="22"/>
        </w:rPr>
        <w:t xml:space="preserve">DAL reported Q2 EPS of $1.56 (vs. $1.51 consensus) and guided Q3 EPS of $2.25 (vs. $2.04 consensus), with full-year EPS guidance of ~$7.00 (vs. ~$5.97 prior consensus). DAL reaffirmed its full-year profit forecast despite record fuel costs. Implication: </w:t>
      </w:r>
      <w:r>
        <w:rPr>
          <w:rFonts w:ascii="Calibri" w:hAnsi="Calibri"/>
          <w:i/>
          <w:color w:val="525866"/>
          <w:sz w:val="22"/>
        </w:rPr>
        <w:t>Strong positive read-through for LUV on demand and pricing; sets a high bar for the sector.</w:t>
      </w:r>
    </w:p>
    <w:p>
      <w:pPr>
        <w:pStyle w:val="ListBullet"/>
        <w:ind w:left="360" w:hanging="360"/>
      </w:pPr>
      <w:r>
        <w:rPr>
          <w:rFonts w:ascii="Calibri" w:hAnsi="Calibri"/>
          <w:b/>
          <w:color w:val="525866"/>
          <w:sz w:val="22"/>
        </w:rPr>
        <w:t xml:space="preserve">July 15–16, 2026 — United Q2 Earnings Beat / Full-Year Raise: </w:t>
      </w:r>
      <w:r>
        <w:rPr>
          <w:rFonts w:ascii="Calibri" w:hAnsi="Calibri"/>
          <w:color w:val="525866"/>
          <w:sz w:val="22"/>
        </w:rPr>
        <w:t xml:space="preserve">UAL reported Q2 EPS of $1.99 (vs. $1.85 consensus) and raised full-year EPS guidance to a midpoint of ~$10 (from ~$9 prior). Despite a $6B fuel cost headwind, UAL expects year-over-year earnings growth. Implication: </w:t>
      </w:r>
      <w:r>
        <w:rPr>
          <w:rFonts w:ascii="Calibri" w:hAnsi="Calibri"/>
          <w:i/>
          <w:color w:val="525866"/>
          <w:sz w:val="22"/>
        </w:rPr>
        <w:t>Confirms the industry can grow earnings through the fuel shock; raises the bar for LUV's own guidance update.</w:t>
      </w:r>
    </w:p>
    <w:p>
      <w:pPr>
        <w:pStyle w:val="ListBullet"/>
        <w:ind w:left="360" w:hanging="360"/>
      </w:pPr>
      <w:r>
        <w:rPr>
          <w:rFonts w:ascii="Calibri" w:hAnsi="Calibri"/>
          <w:b/>
          <w:color w:val="525866"/>
          <w:sz w:val="22"/>
        </w:rPr>
        <w:t xml:space="preserve">July 21, 2026 — Alaska Air Q2 Results (Cautionary): </w:t>
      </w:r>
      <w:r>
        <w:rPr>
          <w:rFonts w:ascii="Calibri" w:hAnsi="Calibri"/>
          <w:color w:val="525866"/>
          <w:sz w:val="22"/>
        </w:rPr>
        <w:t xml:space="preserve">ALK reported Q2 EPS of -$0.92 (better than -$1.00 guided) but Q3 EPS guidance midpoint of $0.50 fell far short of Street expectations of $1.48. Implication: </w:t>
      </w:r>
      <w:r>
        <w:rPr>
          <w:rFonts w:ascii="Calibri" w:hAnsi="Calibri"/>
          <w:i/>
          <w:color w:val="525866"/>
          <w:sz w:val="22"/>
        </w:rPr>
        <w:t>A reminder that not all airlines are recovering fuel costs equally; LUV's Q3 guidance will be closely scrutinized.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buys or sells were identified for LUV in the period since Q1 2026 earnings (April 22, 2026 through July 21, 2026). The absence of insider selling during a period when the stock rallied ~24% is a mild positive signal — insiders are not using the strength to exit.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transactions found</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No open-market buys or sells (Form 4 codes P/S) identified for LUV in the post-Q1 earnings window (Apr 22 – Jul 21, 2026).</w:t>
            </w:r>
          </w:p>
        </w:tc>
      </w:tr>
    </w:tbl>
    <w:p>
      <w:r>
        <w:rPr>
          <w:rFonts w:ascii="Calibri" w:hAnsi="Calibri"/>
          <w:i/>
          <w:color w:val="525866"/>
          <w:sz w:val="22"/>
        </w:rPr>
        <w:t xml:space="preserve">Source: SEC Form 4 Filings Database. </w:t>
      </w:r>
      <w:r>
        <w:rPr>
          <w:rFonts w:ascii="Calibri" w:hAnsi="Calibri"/>
          <w:color w:val="525866"/>
          <w:sz w:val="22"/>
        </w:rPr>
        <w:t>The absence of insider activity is not unusual for a company in a quiet period ahead of earnings. No 10b5-1 plan initiations or Form 144 filings were identified for LUV in this period. The company has been actively repurchasing shares (~14% of shares outstanding repurchased over the prior 18 months), with meaningful authorization remaining — buyback activity is a positive signal on management's confidence in the stock.</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