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vs-earnings-predictions--2026-07-22"/>
    <w:p>
      <w:pPr>
        <w:pStyle w:val="Heading1"/>
      </w:pPr>
      <w:r>
        <w:t xml:space="preserve">LVS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Macao Adj. Property EBITDA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595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620M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Marina Bay Sands Adj. Property EBITDA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690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700M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0.78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0.77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Macao margin/EBITDA trajectory toward $700M/qtr goal (2H26)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620</m:t>
              </m:r>
              <m:r>
                <m:rPr>
                  <m:sty m:val="p"/>
                </m:rPr>
                <m:t>−</m:t>
              </m:r>
              <m:r>
                <m:t>650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680M run-rate (2H26)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Share buyback pace / new authorization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800</m:t>
              </m:r>
              <m:r>
                <m:t>M</m:t>
              </m:r>
              <m:r>
                <m:rPr>
                  <m:sty m:val="p"/>
                </m:rPr>
                <m:t>+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t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740M ($817M auth remaining, 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Venetian renovation disruption commentary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~modest/limited vs. cons ~modest (2H26-2027, new rooms Q3'26)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IR2 (MBS expansion) capex cadence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</m:t>
              </m:r>
              <m:r>
                <m:t>B</m:t>
              </m:r>
              <m:r>
                <m:rPr>
                  <m:sty m:val="p"/>
                </m:rPr>
                <m:t>+</m:t>
              </m:r>
              <m:r>
                <m:t>m</m:t>
              </m:r>
              <m:r>
                <m:t>u</m:t>
              </m:r>
              <m:r>
                <m:t>l</m:t>
              </m:r>
              <m:r>
                <m:t>t</m:t>
              </m:r>
              <m:r>
                <m:t>i</m:t>
              </m:r>
              <m:r>
                <m:rPr>
                  <m:sty m:val="p"/>
                </m:rPr>
                <m:t>−</m:t>
              </m:r>
              <m:r>
                <m:t>y</m:t>
              </m:r>
              <m:r>
                <m:t>e</m:t>
              </m:r>
              <m:r>
                <m:t>a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8B, ~20%+ ROIC (2026-2029)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LVS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(FOLLOW-THROUGH)</w:t>
            </w:r>
          </w:p>
        </w:tc>
        <w:tc>
          <w:tcPr/>
          <w:p>
            <w:pPr>
              <w:pStyle w:val="Compact"/>
            </w:pPr>
            <w:r>
              <w:t xml:space="preserve">Soft World-Cup-disrupted Macao market (June GGR -12% YoY) plus persistent margin reinvestment reset drives Macao estimate cuts through the out-period; MBS reported YoY optically weak on the ~$107M hold-inflated Q2'25 comp. Consistent with the stock's pattern of selling off on both prior 'beats' (-14% Q4, -9% Q1), negative revisions outweigh reset-low expectations and buyback support, extending initial weakness rather than reversing it.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2026-07-22T00:35:05Z</dcterms:created>
  <dcterms:modified xsi:type="dcterms:W3CDTF">2026-07-22T00:35:05Z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