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15" w:name="X153c96f5b2934e78bd60b48387487544c919535"/>
    <w:p>
      <w:pPr>
        <w:pStyle w:val="Heading1"/>
      </w:pPr>
      <w:r>
        <w:t xml:space="preserve">Las Vegas Sands (LVS) — Q2 2026 Earnings Preview</w:t>
      </w:r>
    </w:p>
    <w:p>
      <w:pPr>
        <w:pStyle w:val="FirstParagraph"/>
      </w:pPr>
      <w:r>
        <w:rPr>
          <w:b/>
          <w:bCs/>
        </w:rPr>
        <w:t xml:space="preserve">Reports: Wednesday, July 22, 2026, after market close</w:t>
      </w:r>
    </w:p>
    <w:bookmarkStart w:id="9" w:name="snapshot"/>
    <w:p>
      <w:pPr>
        <w:pStyle w:val="Heading2"/>
      </w:pPr>
      <w:r>
        <w:t xml:space="preserve">Snapshot</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p>
        </w:tc>
        <w:tc>
          <w:tcPr/>
          <w:p>
            <w:pPr>
              <w:pStyle w:val="Compact"/>
            </w:pPr>
          </w:p>
        </w:tc>
      </w:tr>
      <w:tr>
        <w:tc>
          <w:tcPr/>
          <w:p>
            <w:pPr>
              <w:pStyle w:val="Compact"/>
            </w:pPr>
            <w:r>
              <w:t xml:space="preserve">Consensus EPS (adj.)</w:t>
            </w:r>
          </w:p>
        </w:tc>
        <w:tc>
          <w:tcPr/>
          <w:p>
            <w:pPr>
              <w:pStyle w:val="Compact"/>
            </w:pPr>
            <w:r>
              <w:t xml:space="preserve">~$0.77–0.79 (vs. $0.79 in Q2 2025)</w:t>
            </w:r>
          </w:p>
        </w:tc>
      </w:tr>
      <w:tr>
        <w:tc>
          <w:tcPr/>
          <w:p>
            <w:pPr>
              <w:pStyle w:val="Compact"/>
            </w:pPr>
            <w:r>
              <w:t xml:space="preserve">Consensus Revenue</w:t>
            </w:r>
          </w:p>
        </w:tc>
        <w:tc>
          <w:tcPr/>
          <w:p>
            <w:pPr>
              <w:pStyle w:val="Compact"/>
            </w:pPr>
            <w:r>
              <w:t xml:space="preserve">~$3.32–3.42B</w:t>
            </w:r>
          </w:p>
        </w:tc>
      </w:tr>
      <w:tr>
        <w:tc>
          <w:tcPr/>
          <w:p>
            <w:pPr>
              <w:pStyle w:val="Compact"/>
            </w:pPr>
            <w:r>
              <w:t xml:space="preserve">Stock price (as of 7/21)</w:t>
            </w:r>
          </w:p>
        </w:tc>
        <w:tc>
          <w:tcPr/>
          <w:p>
            <w:pPr>
              <w:pStyle w:val="Compact"/>
            </w:pPr>
            <w:r>
              <w:t xml:space="preserve">~$45.48</w:t>
            </w:r>
          </w:p>
        </w:tc>
      </w:tr>
      <w:tr>
        <w:tc>
          <w:tcPr/>
          <w:p>
            <w:pPr>
              <w:pStyle w:val="Compact"/>
            </w:pPr>
            <w:r>
              <w:t xml:space="preserve">52-week range</w:t>
            </w:r>
          </w:p>
        </w:tc>
        <w:tc>
          <w:tcPr/>
          <w:p>
            <w:pPr>
              <w:pStyle w:val="Compact"/>
            </w:pPr>
            <w:r>
              <w:t xml:space="preserve">$44.59 – $70.45</w:t>
            </w:r>
          </w:p>
        </w:tc>
      </w:tr>
      <w:tr>
        <w:tc>
          <w:tcPr/>
          <w:p>
            <w:pPr>
              <w:pStyle w:val="Compact"/>
            </w:pPr>
            <w:r>
              <w:t xml:space="preserve">Avg. analyst price target</w:t>
            </w:r>
          </w:p>
        </w:tc>
        <w:tc>
          <w:tcPr/>
          <w:p>
            <w:pPr>
              <w:pStyle w:val="Compact"/>
            </w:pPr>
            <w:r>
              <w:t xml:space="preserve">~$60–70 (falling)</w:t>
            </w:r>
          </w:p>
        </w:tc>
      </w:tr>
    </w:tbl>
    <w:p>
      <w:pPr>
        <w:pStyle w:val="BodyText"/>
      </w:pPr>
      <w:r>
        <w:t xml:space="preserve">The Zacks Consensus Estimate for second-quarter earnings per share is pegged at 77 cents, indicating a decline of 2.5% from 79 cents reported in the year-ago quarter, while the revenue consensus is pegged at nearly $3.37 billion, an increase of 6.1% from the year-ago quarter. Other estimates put the median view of 12 analysts at $0.76 EPS, with estimates ranging from $0.64 to $0.84 and revenue projections spanning $3.17B to $3.42B. Notably, analyst sentiment has turned modestly negative in recent weeks — the consensus EPS estimate has drifted down 3.8% over the past 30 days, falling from $0.79 to $0.76, suggesting analysts have grown more cautious on near-term performance, possibly reflecting softer gaming demand or increased promotional activity.</w:t>
      </w:r>
    </w:p>
    <w:bookmarkEnd w:id="9"/>
    <w:bookmarkStart w:id="10" w:name="the-setup-a-stock-in-retreat-since-q1"/>
    <w:p>
      <w:pPr>
        <w:pStyle w:val="Heading2"/>
      </w:pPr>
      <w:r>
        <w:t xml:space="preserve">The setup: a stock in retreat since Q1</w:t>
      </w:r>
    </w:p>
    <w:p>
      <w:pPr>
        <w:pStyle w:val="FirstParagraph"/>
      </w:pPr>
      <w:r>
        <w:t xml:space="preserve">LVS has had a rough three months. Despite reporting better-than-expected Q1 2026 adjusted EPS of $0.91 and revenue of $3.58 billion on April 22, shares tumbled 8.6% the next day as investors focused on margin weakness in Macau driven by intense competition and rising promotional spending to attract players, which overshadowed strong topline growth including a 25.3% year-over-year revenue increase. The stock has continued to slide since — falling from roughly $57 in mid-April to under $46 heading into this print — and the 52-week high for the stock is $70.45 and the 52-week low is $44.59, meaning shares are trading near multi-quarter lows.</w:t>
      </w:r>
    </w:p>
    <w:p>
      <w:pPr>
        <w:pStyle w:val="BodyText"/>
      </w:pPr>
      <w:r>
        <w:t xml:space="preserve">That decline has come alongside a wave of price-target cuts. Recent moves include UBS to $62, BofA to $60, Goldman Sachs to $63 (while keeping Buy), JPMorgan to $64 (Overweight), Wells Fargo to $53 (Equal Weight), Barclays to $63 (Overweight), and Jefferies to $52 (Hold), with commentary that "land-based gaming remains the most out-of-favor subsector" even as most firms retain constructive ratings. Ahead of the print, J.P. Morgan said in a note that expectations are low heading into Macau's 2Q26 results season.</w:t>
      </w:r>
    </w:p>
    <w:bookmarkEnd w:id="10"/>
    <w:bookmarkStart w:id="11" w:name="X18dcd6846a4487fc8bf5bcdbb020e25efdfa86a"/>
    <w:p>
      <w:pPr>
        <w:pStyle w:val="Heading2"/>
      </w:pPr>
      <w:r>
        <w:t xml:space="preserve">Key theme #1: Macau — margin compression meets a World Cup hangover</w:t>
      </w:r>
    </w:p>
    <w:p>
      <w:pPr>
        <w:pStyle w:val="FirstParagraph"/>
      </w:pPr>
      <w:r>
        <w:t xml:space="preserve">Macau is the swing factor for this quarter. On the market backdrop:</w:t>
      </w:r>
    </w:p>
    <w:p>
      <w:pPr>
        <w:pStyle w:val="Compact"/>
        <w:numPr>
          <w:ilvl w:val="0"/>
          <w:numId w:val="1001"/>
        </w:numPr>
      </w:pPr>
      <w:r>
        <w:t xml:space="preserve">Macau's gross gaming revenue for fiscal Q2 2026 saw a marginal year-over-year decline of 0.1% to MOP61.03 billion, compared to MOP61.11 billion in Q2 2025, exacerbated by a significant 12.1% year-on-year drop in June 2026 GGR to MOP18.52 billion.</w:t>
      </w:r>
    </w:p>
    <w:p>
      <w:pPr>
        <w:pStyle w:val="Compact"/>
        <w:numPr>
          <w:ilvl w:val="0"/>
          <w:numId w:val="1001"/>
        </w:numPr>
      </w:pPr>
      <w:r>
        <w:t xml:space="preserve">June's GGR fall to $2.29 billion, an 18% drop from May, reflected a negative impact from the FIFA World Cup on tourism and betting trends, with the tournament compounding typical June seasonality and weakening premium demand year-over-year. Analysts noted this year's expanded 48-team, 104-match format could have a stronger impact on gaming demand than previous tournaments.</w:t>
      </w:r>
    </w:p>
    <w:p>
      <w:pPr>
        <w:pStyle w:val="Compact"/>
        <w:numPr>
          <w:ilvl w:val="0"/>
          <w:numId w:val="1001"/>
        </w:numPr>
      </w:pPr>
      <w:r>
        <w:t xml:space="preserve">Still, cumulative gaming revenue for the first half of the year came in at 126.9 billion patacas, up 6.8% year-over-year, a sharp deceleration after cumulative revenue logged double-digit growth in the first five months of the year.</w:t>
      </w:r>
    </w:p>
    <w:p>
      <w:pPr>
        <w:pStyle w:val="Compact"/>
        <w:numPr>
          <w:ilvl w:val="0"/>
          <w:numId w:val="1001"/>
        </w:numPr>
      </w:pPr>
      <w:r>
        <w:t xml:space="preserve">Analysts expect a rebound: Citi expects a swift recovery for Macau's operators post-World Cup, led by a strong events calendar including K-pop groups, a Taiwanese singer, and NBA China Games.</w:t>
      </w:r>
    </w:p>
    <w:p>
      <w:pPr>
        <w:pStyle w:val="FirstParagraph"/>
      </w:pPr>
      <w:r>
        <w:t xml:space="preserve">On LVS's own execution, management has been candid that the investment cycle is pressuring margins. On the Q1 call, CEO Patrick Dumont explained that the company's principal focus in 2026 is to deliver revenue and cash flow growth across the portfolio, but investments in improving service offerings will naturally increase expenses, which will continue to negatively impact margins as they implement the strategy. Management set a long-term target of $700M+ in quarterly Macau EBITDA (versus $633M in Q1), but cautioned on the Q1 call that</w:t>
      </w:r>
      <w:r>
        <w:t xml:space="preserve"> </w:t>
      </w:r>
      <w:r>
        <w:rPr>
          <w:b/>
          <w:bCs/>
        </w:rPr>
        <w:t xml:space="preserve">Q2 is typically the softest seasonal quarter</w:t>
      </w:r>
      <w:r>
        <w:t xml:space="preserve"> </w:t>
      </w:r>
      <w:r>
        <w:t xml:space="preserve">and that comps get progressively tougher. Watch for:</w:t>
      </w:r>
    </w:p>
    <w:p>
      <w:pPr>
        <w:pStyle w:val="Compact"/>
        <w:numPr>
          <w:ilvl w:val="0"/>
          <w:numId w:val="1002"/>
        </w:numPr>
      </w:pPr>
      <w:r>
        <w:rPr>
          <w:b/>
          <w:bCs/>
        </w:rPr>
        <w:t xml:space="preserve">Sequential Macau EBITDA/margin trend</w:t>
      </w:r>
      <w:r>
        <w:t xml:space="preserve"> </w:t>
      </w:r>
      <w:r>
        <w:t xml:space="preserve">— did the additional hiring/service investment (called out repeatedly on the Q1 call) continue to weigh on margins, or did revenue growth offset it as management hoped?</w:t>
      </w:r>
    </w:p>
    <w:p>
      <w:pPr>
        <w:pStyle w:val="Compact"/>
        <w:numPr>
          <w:ilvl w:val="0"/>
          <w:numId w:val="1002"/>
        </w:numPr>
      </w:pPr>
      <w:r>
        <w:rPr>
          <w:b/>
          <w:bCs/>
        </w:rPr>
        <w:t xml:space="preserve">Base mass vs. premium mix</w:t>
      </w:r>
      <w:r>
        <w:t xml:space="preserve"> </w:t>
      </w:r>
      <w:r>
        <w:t xml:space="preserve">— management pointed to slot/ETG growth (+31% YoY in Q1) and record mall tenant sales as "green shoots" in the base-mass consumer even as premium drove the bulk of GGR growth.</w:t>
      </w:r>
    </w:p>
    <w:p>
      <w:pPr>
        <w:pStyle w:val="Compact"/>
        <w:numPr>
          <w:ilvl w:val="0"/>
          <w:numId w:val="1002"/>
        </w:numPr>
      </w:pPr>
      <w:r>
        <w:rPr>
          <w:b/>
          <w:bCs/>
        </w:rPr>
        <w:t xml:space="preserve">Competitive dynamics</w:t>
      </w:r>
      <w:r>
        <w:t xml:space="preserve"> </w:t>
      </w:r>
      <w:r>
        <w:t xml:space="preserve">— Jefferies analyst Anne Ling has highlighted that Wynn Resorts and Galaxy Entertainment are expected to continue gaining market share in the premium segment, a read-through on whether Sands China's share gains from Q1 (mass share of 25.7%, strongest since 1Q24) held up.</w:t>
      </w:r>
    </w:p>
    <w:p>
      <w:pPr>
        <w:pStyle w:val="Compact"/>
        <w:numPr>
          <w:ilvl w:val="0"/>
          <w:numId w:val="1002"/>
        </w:numPr>
      </w:pPr>
      <w:r>
        <w:rPr>
          <w:b/>
          <w:bCs/>
        </w:rPr>
        <w:t xml:space="preserve">World Cup drag into July</w:t>
      </w:r>
      <w:r>
        <w:t xml:space="preserve"> </w:t>
      </w:r>
      <w:r>
        <w:t xml:space="preserve">— commentary on whether the diversion of betting dollars to sports lotteries has bled into the current quarter, as some analysts warned.</w:t>
      </w:r>
    </w:p>
    <w:bookmarkEnd w:id="11"/>
    <w:bookmarkStart w:id="12" w:name="Xe39357c0f4c65960e2ef1dc5cc2f88431576d6a"/>
    <w:p>
      <w:pPr>
        <w:pStyle w:val="Heading2"/>
      </w:pPr>
      <w:r>
        <w:t xml:space="preserve">Key theme #2: Singapore — the profit engine keeps humming, but tourism spend may be cooling</w:t>
      </w:r>
    </w:p>
    <w:p>
      <w:pPr>
        <w:pStyle w:val="FirstParagraph"/>
      </w:pPr>
      <w:r>
        <w:t xml:space="preserve">Marina Bay Sands remains the standout. In Q1, MBS EBITDA increased over 30% to reach $788 million on $18 billion of rolling chip volume, with a 53% EBITDA margin. Management described the VIP segment as volatile and "barbell"-shaped (a mix of conservative rollers and side-bet enthusiasts), so investors should watch whether Q2 can sustain anything close to Q1's outsized rolling volume rather than expecting it as a new baseline.</w:t>
      </w:r>
    </w:p>
    <w:p>
      <w:pPr>
        <w:pStyle w:val="BodyText"/>
      </w:pPr>
      <w:r>
        <w:t xml:space="preserve">Macro tourism data is a mild watch-item: the Singapore Tourism Board projected a cautious outlook for 2026 tourism receipts, forecasting S</w:t>
      </w:r>
      <m:oMath>
        <m:r>
          <m:t>31</m:t>
        </m:r>
        <m:r>
          <m:t>b</m:t>
        </m:r>
        <m:r>
          <m:t>i</m:t>
        </m:r>
        <m:r>
          <m:t>l</m:t>
        </m:r>
        <m:r>
          <m:t>l</m:t>
        </m:r>
        <m:r>
          <m:t>i</m:t>
        </m:r>
        <m:r>
          <m:t>o</m:t>
        </m:r>
        <m:r>
          <m:t>n</m:t>
        </m:r>
        <m:r>
          <m:t>t</m:t>
        </m:r>
        <m:r>
          <m:t>o</m:t>
        </m:r>
        <m:r>
          <m:t>S</m:t>
        </m:r>
      </m:oMath>
      <w:r>
        <w:t xml:space="preserve">32.5 billion — below the record S$32.8 billion in 2025 — attributed to higher global travel costs and broader economic uncertainty, even as overall visitor arrivals are expected to rise to 17-18 million, indicating potential moderation in revenue per visitor. On the positive side, sightseeing, entertainment, and gaming spending grew 23% year-on-year in early 2026, suggesting the high-value experiential tourist Sands courts is still spending.</w:t>
      </w:r>
    </w:p>
    <w:p>
      <w:pPr>
        <w:pStyle w:val="BodyText"/>
      </w:pPr>
      <w:r>
        <w:t xml:space="preserve">Longer-term, the</w:t>
      </w:r>
      <w:r>
        <w:t xml:space="preserve"> </w:t>
      </w:r>
      <w:r>
        <w:rPr>
          <w:b/>
          <w:bCs/>
        </w:rPr>
        <w:t xml:space="preserve">IR2 ($8B) expansion</w:t>
      </w:r>
      <w:r>
        <w:t xml:space="preserve"> </w:t>
      </w:r>
      <w:r>
        <w:t xml:space="preserve">remains a key narrative driver. Management reiterated it is targeting a &gt;20% return on invested capital and framed IR2 as capacity relief for a property that has outgrown its current room/suite inventory ("We went from 132 suites to 770, and we need more capacity"). Expect an update on construction progress and timeline commentary.</w:t>
      </w:r>
    </w:p>
    <w:bookmarkEnd w:id="12"/>
    <w:bookmarkStart w:id="13" w:name="other-items-to-watch"/>
    <w:p>
      <w:pPr>
        <w:pStyle w:val="Heading2"/>
      </w:pPr>
      <w:r>
        <w:t xml:space="preserve">Other items to watch</w:t>
      </w:r>
    </w:p>
    <w:p>
      <w:pPr>
        <w:pStyle w:val="Compact"/>
        <w:numPr>
          <w:ilvl w:val="0"/>
          <w:numId w:val="1003"/>
        </w:numPr>
      </w:pPr>
      <w:r>
        <w:rPr>
          <w:b/>
          <w:bCs/>
        </w:rPr>
        <w:t xml:space="preserve">Venetian Macao renovation</w:t>
      </w:r>
      <w:r>
        <w:t xml:space="preserve">: Renovation work is progressing as planned, with the first refurbished rooms expected to enter service in the third quarter of 2026 and the broader refresh scheduled for completion by the end of 2027; management believes the phased strategy should allow it to upgrade product without materially disrupting operations.</w:t>
      </w:r>
    </w:p>
    <w:p>
      <w:pPr>
        <w:pStyle w:val="Compact"/>
        <w:numPr>
          <w:ilvl w:val="0"/>
          <w:numId w:val="1003"/>
        </w:numPr>
      </w:pPr>
      <w:r>
        <w:rPr>
          <w:b/>
          <w:bCs/>
        </w:rPr>
        <w:t xml:space="preserve">Capital returns</w:t>
      </w:r>
      <w:r>
        <w:t xml:space="preserve">: LVS repurchased $740M of stock in Q1 alone (about 13M shares at $56.64 average) and had $817M left on its authorization at quarter-end; it has bought back 14.3% of shares outstanding since late 2023. Watch for confirmation that buyback pace stayed elevated even as the stock fell further, which would be a signal of management's confidence.</w:t>
      </w:r>
    </w:p>
    <w:p>
      <w:pPr>
        <w:pStyle w:val="Compact"/>
        <w:numPr>
          <w:ilvl w:val="0"/>
          <w:numId w:val="1003"/>
        </w:numPr>
      </w:pPr>
      <w:r>
        <w:rPr>
          <w:b/>
          <w:bCs/>
        </w:rPr>
        <w:t xml:space="preserve">Balance sheet</w:t>
      </w:r>
      <w:r>
        <w:t xml:space="preserve">: Total debt was</w:t>
      </w:r>
      <w:r>
        <w:t xml:space="preserve"> </w:t>
      </w:r>
      <m:oMath>
        <m:r>
          <m:t>15.57</m:t>
        </m:r>
        <m:r>
          <m:t>B</m:t>
        </m:r>
        <m:r>
          <m:t>a</m:t>
        </m:r>
        <m:r>
          <m:t>t</m:t>
        </m:r>
        <m:r>
          <m:t>Q</m:t>
        </m:r>
        <m:r>
          <m:t>1</m:t>
        </m:r>
        <m:r>
          <m:rPr>
            <m:sty m:val="p"/>
          </m:rPr>
          <m:t>−</m:t>
        </m:r>
        <m:r>
          <m:t>e</m:t>
        </m:r>
        <m:r>
          <m:t>n</m:t>
        </m:r>
        <m:r>
          <m:t>d</m:t>
        </m:r>
        <m:r>
          <m:t>w</m:t>
        </m:r>
        <m:r>
          <m:t>i</m:t>
        </m:r>
        <m:r>
          <m:t>t</m:t>
        </m:r>
        <m:r>
          <m:t>h</m:t>
        </m:r>
        <m:r>
          <m:t>a</m:t>
        </m:r>
        <m:r>
          <m:t>4.6</m:t>
        </m:r>
      </m:oMath>
      <w:r>
        <w:t xml:space="preserve">307M of an SCL revolving facility in April).</w:t>
      </w:r>
    </w:p>
    <w:p>
      <w:pPr>
        <w:pStyle w:val="Compact"/>
        <w:numPr>
          <w:ilvl w:val="0"/>
          <w:numId w:val="1003"/>
        </w:numPr>
      </w:pPr>
      <w:r>
        <w:rPr>
          <w:b/>
          <w:bCs/>
        </w:rPr>
        <w:t xml:space="preserve">Full-year 2026 read-through</w:t>
      </w:r>
      <w:r>
        <w:t xml:space="preserve">: For fiscal 2026, analysts expect the casino operator to post an adjusted EPS of $3.38, representing a 12.3% increase from $3.01 in fiscal 2025. A soft Q2 print combined with cautious commentary on 2H margins would pressure that full-year number further.</w:t>
      </w:r>
    </w:p>
    <w:bookmarkEnd w:id="13"/>
    <w:bookmarkStart w:id="14" w:name="bottom-line"/>
    <w:p>
      <w:pPr>
        <w:pStyle w:val="Heading2"/>
      </w:pPr>
      <w:r>
        <w:t xml:space="preserve">Bottom line</w:t>
      </w:r>
    </w:p>
    <w:p>
      <w:pPr>
        <w:pStyle w:val="FirstParagraph"/>
      </w:pPr>
      <w:r>
        <w:t xml:space="preserve">This is a "show-me" quarter for Las Vegas Sands. The bull case — Singapore's structural growth, an eventual Macau margin inflection, and aggressive buybacks at what management views as depressed multiples — is intact, and Macquarie still argues LVS remains a well-positioned large-cap investment given insulation from recent risks and benefits from global wealth and experiential trends, at a reasonable valuation, while highlighting Marina Bay Sands as a "trophy asset." But the bear case has driven the last three months of trading: the risk that intensified Macau competition could sustain higher costs and weaker margins is something investors are focused on, with the tension between solid top-line performance and pressure on profitability in Macau highlighting how sensitive the business is to even small changes in promotional spending and competitive intensity. Given depressed expectations and a stock trading near 52-week lows, the market reaction may hinge less on the absolute beat/miss and more on</w:t>
      </w:r>
      <w:r>
        <w:t xml:space="preserve"> </w:t>
      </w:r>
      <w:r>
        <w:rPr>
          <w:b/>
          <w:bCs/>
        </w:rPr>
        <w:t xml:space="preserve">management's tone on Macau margin trajectory into 2H26</w:t>
      </w:r>
      <w:r>
        <w:t xml:space="preserve"> </w:t>
      </w:r>
      <w:r>
        <w:t xml:space="preserve">and whether the World Cup-related June GGR air-pocket proves transitory, as several sell-side analysts are betting.</w:t>
      </w:r>
    </w:p>
    <w:bookmarkEnd w:id="14"/>
    <w:bookmarkEnd w:id="15"/>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2026-07-22T00:35:31Z</dcterms:created>
  <dcterms:modified xsi:type="dcterms:W3CDTF">2026-07-22T00:35:31Z</dcterms:modified>
</cp:coreProperties>
</file>

<file path=docProps/custom.xml><?xml version="1.0" encoding="utf-8"?>
<Properties xmlns="http://schemas.openxmlformats.org/officeDocument/2006/custom-properties" xmlns:vt="http://schemas.openxmlformats.org/officeDocument/2006/docPropsVTypes"/>
</file>