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879f6ac7243bc6d1e1f43ce41b0ff8aa65d154"/>
    <w:p>
      <w:pPr>
        <w:pStyle w:val="Heading1"/>
      </w:pPr>
      <w:r>
        <w:t xml:space="preserve">Las Vegas Sands (LVS) — 2Q26 Earnings Preview</w:t>
      </w:r>
    </w:p>
    <w:p>
      <w:pPr>
        <w:pStyle w:val="BlockText"/>
      </w:pPr>
      <w:r>
        <w:rPr>
          <w:b/>
          <w:bCs/>
        </w:rPr>
        <w:t xml:space="preserve">Timing clarification:</w:t>
      </w:r>
      <w:r>
        <w:t xml:space="preserve"> </w:t>
      </w:r>
      <w:r>
        <w:t xml:space="preserve">LVS is scheduled to report</w:t>
      </w:r>
      <w:r>
        <w:t xml:space="preserve"> </w:t>
      </w:r>
      <w:r>
        <w:rPr>
          <w:b/>
          <w:bCs/>
        </w:rPr>
        <w:t xml:space="preserve">today, Wednesday, July 22, 2026, after the U.S. market close</w:t>
      </w:r>
      <w:r>
        <w:t xml:space="preserve">, with the earnings call at approximately</w:t>
      </w:r>
      <w:r>
        <w:t xml:space="preserve"> </w:t>
      </w:r>
      <w:r>
        <w:rPr>
          <w:b/>
          <w:bCs/>
        </w:rPr>
        <w:t xml:space="preserve">4:30 p.m. ET / 1:30 p.m. PT</w:t>
      </w:r>
      <w:r>
        <w:t xml:space="preserve">—not tomorrow.</w:t>
      </w:r>
    </w:p>
    <w:bookmarkStart w:id="10" w:name="investment-view-going-into-the-print"/>
    <w:p>
      <w:pPr>
        <w:pStyle w:val="Heading2"/>
      </w:pPr>
      <w:r>
        <w:t xml:space="preserve">Investment view going into the print</w:t>
      </w:r>
    </w:p>
    <w:p>
      <w:pPr>
        <w:pStyle w:val="FirstParagraph"/>
      </w:pPr>
      <w:r>
        <w:t xml:space="preserve">The central question is not whether LVS can replicate its exceptional first quarter. It probably cannot, given normal seasonality and softer Macao industry data. The more important question is whether the company can demonstrate that:</w:t>
      </w:r>
    </w:p>
    <w:p>
      <w:pPr>
        <w:pStyle w:val="Compact"/>
        <w:numPr>
          <w:ilvl w:val="0"/>
          <w:numId w:val="1001"/>
        </w:numPr>
      </w:pPr>
      <w:r>
        <w:rPr>
          <w:b/>
          <w:bCs/>
        </w:rPr>
        <w:t xml:space="preserve">Marina Bay Sands’ underlying earnings power has structurally improved</w:t>
      </w:r>
      <w:r>
        <w:t xml:space="preserve">, even after normalizing volatile gaming hold;</w:t>
      </w:r>
    </w:p>
    <w:p>
      <w:pPr>
        <w:pStyle w:val="Compact"/>
        <w:numPr>
          <w:ilvl w:val="0"/>
          <w:numId w:val="1001"/>
        </w:numPr>
      </w:pPr>
      <w:r>
        <w:rPr>
          <w:b/>
          <w:bCs/>
        </w:rPr>
        <w:t xml:space="preserve">Sands China is still gaining share</w:t>
      </w:r>
      <w:r>
        <w:t xml:space="preserve"> </w:t>
      </w:r>
      <w:r>
        <w:t xml:space="preserve">despite a flat Macao market and elevated customer-reinvestment costs; and</w:t>
      </w:r>
    </w:p>
    <w:p>
      <w:pPr>
        <w:pStyle w:val="Compact"/>
        <w:numPr>
          <w:ilvl w:val="0"/>
          <w:numId w:val="1001"/>
        </w:numPr>
      </w:pPr>
      <w:r>
        <w:t xml:space="preserve">Strong cash generation can continue funding</w:t>
      </w:r>
      <w:r>
        <w:t xml:space="preserve"> </w:t>
      </w:r>
      <w:r>
        <w:rPr>
          <w:b/>
          <w:bCs/>
        </w:rPr>
        <w:t xml:space="preserve">buybacks, dividends and an increasingly capital-intensive development program</w:t>
      </w:r>
      <w:r>
        <w:t xml:space="preserve">.</w:t>
      </w:r>
    </w:p>
    <w:p>
      <w:pPr>
        <w:pStyle w:val="FirstParagraph"/>
      </w:pPr>
      <w:r>
        <w:t xml:space="preserve">The setup is less demanding than it was earlier in the quarter. LVS shares entered the report near</w:t>
      </w:r>
      <w:r>
        <w:t xml:space="preserve"> </w:t>
      </w:r>
      <m:oMath>
        <m:r>
          <m:t>45.50</m:t>
        </m:r>
        <m:r>
          <m:rPr>
            <m:sty m:val="p"/>
          </m:rPr>
          <m:t>*</m:t>
        </m:r>
        <m:r>
          <m:rPr>
            <m:sty m:val="p"/>
          </m:rPr>
          <m:t>*</m:t>
        </m:r>
        <m:r>
          <m:rPr>
            <m:sty m:val="p"/>
          </m:rPr>
          <m:t>,</m:t>
        </m:r>
        <m:r>
          <m:t>d</m:t>
        </m:r>
        <m:r>
          <m:t>o</m:t>
        </m:r>
        <m:r>
          <m:t>w</m:t>
        </m:r>
        <m:r>
          <m:t>n</m:t>
        </m:r>
        <m:r>
          <m:t>r</m:t>
        </m:r>
        <m:r>
          <m:t>o</m:t>
        </m:r>
        <m:r>
          <m:t>u</m:t>
        </m:r>
        <m:r>
          <m:t>g</m:t>
        </m:r>
        <m:r>
          <m:t>h</m:t>
        </m:r>
        <m:r>
          <m:t>l</m:t>
        </m:r>
        <m:r>
          <m:t>y</m:t>
        </m:r>
        <m:r>
          <m:t>15</m:t>
        </m:r>
      </m:oMath>
      <w:r>
        <w:rPr>
          <w:b/>
          <w:bCs/>
        </w:rPr>
        <w:t xml:space="preserve">3.3–$3.4 billion of revenue and</w:t>
      </w:r>
      <w:r>
        <w:rPr>
          <w:b/>
          <w:bCs/>
        </w:rPr>
        <w:t xml:space="preserve"> </w:t>
      </w:r>
      <m:oMath>
        <m:r>
          <m:t>0.77</m:t>
        </m:r>
        <m:r>
          <m:rPr>
            <m:sty m:val="p"/>
          </m:rPr>
          <m:t>–</m:t>
        </m:r>
      </m:oMath>
      <w:r>
        <w:rPr>
          <w:b/>
          <w:bCs/>
        </w:rPr>
        <w:t xml:space="preserve">0.78 of adjusted EPS</w:t>
      </w:r>
      <w:r>
        <w:t xml:space="preserve">. (</w:t>
      </w:r>
      <w:hyperlink r:id="rId9">
        <w:r>
          <w:rPr>
            <w:rStyle w:val="Hyperlink"/>
          </w:rPr>
          <w:t xml:space="preserve">barchart.com</w:t>
        </w:r>
      </w:hyperlink>
      <w:r>
        <w:t xml:space="preserve">)</w:t>
      </w:r>
    </w:p>
    <w:bookmarkEnd w:id="10"/>
    <w:bookmarkStart w:id="11" w:name="expectations-snapshot"/>
    <w:p>
      <w:pPr>
        <w:pStyle w:val="Heading2"/>
      </w:pPr>
      <w:r>
        <w:t xml:space="preserve">Expectations snapshot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expectation/setup</w:t>
            </w:r>
          </w:p>
        </w:tc>
        <w:tc>
          <w:tcPr/>
          <w:p>
            <w:pPr>
              <w:pStyle w:val="Compact"/>
              <w:jc w:val="right"/>
            </w:pPr>
            <w:r>
              <w:t xml:space="preserve">Relevant comparison</w:t>
            </w:r>
          </w:p>
        </w:tc>
      </w:tr>
      <w:tr>
        <w:tc>
          <w:tcPr/>
          <w:p>
            <w:pPr>
              <w:pStyle w:val="Compact"/>
            </w:pPr>
            <w:r>
              <w:t xml:space="preserve">Revenue</w:t>
            </w:r>
          </w:p>
        </w:tc>
        <w:tc>
          <w:tcPr/>
          <w:p>
            <w:pPr>
              <w:pStyle w:val="Compact"/>
              <w:jc w:val="right"/>
            </w:pPr>
            <w:r>
              <w:t xml:space="preserve">~</w:t>
            </w:r>
            <m:oMath>
              <m:r>
                <m:t>3.3</m:t>
              </m:r>
              <m:r>
                <m:rPr>
                  <m:sty m:val="p"/>
                </m:rPr>
                <m:t>–</m:t>
              </m:r>
            </m:oMath>
            <w:r>
              <w:t xml:space="preserve">3.4B</w:t>
            </w:r>
          </w:p>
        </w:tc>
        <w:tc>
          <w:tcPr/>
          <w:p>
            <w:pPr>
              <w:pStyle w:val="Compact"/>
              <w:jc w:val="right"/>
            </w:pPr>
            <w:r>
              <w:t xml:space="preserve">$3.18B in 2Q25</w:t>
            </w:r>
          </w:p>
        </w:tc>
      </w:tr>
      <w:tr>
        <w:tc>
          <w:tcPr/>
          <w:p>
            <w:pPr>
              <w:pStyle w:val="Compact"/>
            </w:pPr>
            <w:r>
              <w:t xml:space="preserve">Adjusted EPS</w:t>
            </w:r>
          </w:p>
        </w:tc>
        <w:tc>
          <w:tcPr/>
          <w:p>
            <w:pPr>
              <w:pStyle w:val="Compact"/>
              <w:jc w:val="right"/>
            </w:pPr>
            <w:r>
              <w:t xml:space="preserve">~</w:t>
            </w:r>
            <m:oMath>
              <m:r>
                <m:t>0.77</m:t>
              </m:r>
              <m:r>
                <m:rPr>
                  <m:sty m:val="p"/>
                </m:rPr>
                <m:t>–</m:t>
              </m:r>
            </m:oMath>
            <w:r>
              <w:t xml:space="preserve">0.78</w:t>
            </w:r>
          </w:p>
        </w:tc>
        <w:tc>
          <w:tcPr/>
          <w:p>
            <w:pPr>
              <w:pStyle w:val="Compact"/>
              <w:jc w:val="right"/>
            </w:pPr>
            <w:r>
              <w:t xml:space="preserve">$0.79 in 2Q25</w:t>
            </w:r>
          </w:p>
        </w:tc>
      </w:tr>
      <w:tr>
        <w:tc>
          <w:tcPr/>
          <w:p>
            <w:pPr>
              <w:pStyle w:val="Compact"/>
            </w:pPr>
            <w:r>
              <w:t xml:space="preserve">Marina Bay Sands EBITDA</w:t>
            </w:r>
          </w:p>
        </w:tc>
        <w:tc>
          <w:tcPr/>
          <w:p>
            <w:pPr>
              <w:pStyle w:val="Compact"/>
              <w:jc w:val="right"/>
            </w:pPr>
            <w:r>
              <w:t xml:space="preserve">~</w:t>
            </w:r>
            <m:oMath>
              <m:r>
                <m:t>725</m:t>
              </m:r>
              <m:r>
                <m:rPr>
                  <m:sty m:val="p"/>
                </m:rPr>
                <m:t>–</m:t>
              </m:r>
            </m:oMath>
            <w:r>
              <w:t xml:space="preserve">727M market/JPM estimate</w:t>
            </w:r>
          </w:p>
        </w:tc>
        <w:tc>
          <w:tcPr/>
          <w:p>
            <w:pPr>
              <w:pStyle w:val="Compact"/>
              <w:jc w:val="right"/>
            </w:pPr>
            <w:r>
              <w:t xml:space="preserve">$768M reported in 2Q25</w:t>
            </w:r>
          </w:p>
        </w:tc>
      </w:tr>
      <w:tr>
        <w:tc>
          <w:tcPr/>
          <w:p>
            <w:pPr>
              <w:pStyle w:val="Compact"/>
            </w:pPr>
            <w:r>
              <w:t xml:space="preserve">Macao EBITDA</w:t>
            </w:r>
          </w:p>
        </w:tc>
        <w:tc>
          <w:tcPr/>
          <w:p>
            <w:pPr>
              <w:pStyle w:val="Compact"/>
              <w:jc w:val="right"/>
            </w:pPr>
            <w:r>
              <w:t xml:space="preserve">The key swing factor; focus likely around whether it can remain near $600M</w:t>
            </w:r>
          </w:p>
        </w:tc>
        <w:tc>
          <w:tcPr/>
          <w:p>
            <w:pPr>
              <w:pStyle w:val="Compact"/>
              <w:jc w:val="right"/>
            </w:pPr>
            <w:r>
              <w:t xml:space="preserve">$566M in 2Q25; $633M in 1Q26</w:t>
            </w:r>
          </w:p>
        </w:tc>
      </w:tr>
      <w:tr>
        <w:tc>
          <w:tcPr/>
          <w:p>
            <w:pPr>
              <w:pStyle w:val="Compact"/>
            </w:pPr>
            <w:r>
              <w:t xml:space="preserve">Capital return</w:t>
            </w:r>
          </w:p>
        </w:tc>
        <w:tc>
          <w:tcPr/>
          <w:p>
            <w:pPr>
              <w:pStyle w:val="Compact"/>
              <w:jc w:val="right"/>
            </w:pPr>
            <w:r>
              <w:t xml:space="preserve">Buybacks likely continued, but pace uncertain</w:t>
            </w:r>
          </w:p>
        </w:tc>
        <w:tc>
          <w:tcPr/>
          <w:p>
            <w:pPr>
              <w:pStyle w:val="Compact"/>
              <w:jc w:val="right"/>
            </w:pPr>
            <w:r>
              <w:t xml:space="preserve">$740M repurchased in 1Q26</w:t>
            </w:r>
          </w:p>
        </w:tc>
      </w:tr>
    </w:tbl>
    <w:p>
      <w:pPr>
        <w:pStyle w:val="BodyText"/>
      </w:pPr>
      <w:r>
        <w:t xml:space="preserve">The year-over-year EPS comparison is unusually uninformative because 2Q25 benefited materially from favorable gaming hold at Marina Bay Sands. Meanwhile, LVS’s lower share count should provide a meaningful offset to any decline in reported property EBITDA.</w:t>
      </w:r>
    </w:p>
    <w:p>
      <w:r>
        <w:pict>
          <v:rect style="width:0;height:1.5pt" o:hralign="center" o:hrstd="t" o:hr="t"/>
        </w:pict>
      </w:r>
    </w:p>
    <w:bookmarkEnd w:id="11"/>
    <w:bookmarkStart w:id="16" w:name="X7a989c210c343bc878f5b4145d5bcd155e91c7a"/>
    <w:p>
      <w:pPr>
        <w:pStyle w:val="Heading2"/>
      </w:pPr>
      <w:r>
        <w:t xml:space="preserve">1. Marina Bay Sands: look through the difficult reported comparison</w:t>
      </w:r>
    </w:p>
    <w:p>
      <w:pPr>
        <w:pStyle w:val="FirstParagraph"/>
      </w:pPr>
      <w:r>
        <w:t xml:space="preserve">Marina Bay Sands remains LVS’s highest-quality asset and probably the most important determinant of the stock’s long-term valuation.</w:t>
      </w:r>
    </w:p>
    <w:p>
      <w:pPr>
        <w:pStyle w:val="BodyText"/>
      </w:pPr>
      <w:r>
        <w:t xml:space="preserve">In 1Q26, MBS generated:</w:t>
      </w:r>
    </w:p>
    <w:p>
      <w:pPr>
        <w:pStyle w:val="Compact"/>
        <w:numPr>
          <w:ilvl w:val="0"/>
          <w:numId w:val="1002"/>
        </w:numPr>
      </w:pPr>
      <w:r>
        <w:rPr>
          <w:b/>
          <w:bCs/>
        </w:rPr>
        <w:t xml:space="preserve">$1.49 billion of revenue</w:t>
      </w:r>
    </w:p>
    <w:p>
      <w:pPr>
        <w:pStyle w:val="Compact"/>
        <w:numPr>
          <w:ilvl w:val="0"/>
          <w:numId w:val="1002"/>
        </w:numPr>
      </w:pPr>
      <w:r>
        <w:rPr>
          <w:b/>
          <w:bCs/>
        </w:rPr>
        <w:t xml:space="preserve">$788 million of adjusted property EBITDA</w:t>
      </w:r>
    </w:p>
    <w:p>
      <w:pPr>
        <w:pStyle w:val="Compact"/>
        <w:numPr>
          <w:ilvl w:val="0"/>
          <w:numId w:val="1002"/>
        </w:numPr>
      </w:pPr>
      <w:r>
        <w:rPr>
          <w:b/>
          <w:bCs/>
        </w:rPr>
        <w:t xml:space="preserve">53.0% EBITDA margin</w:t>
      </w:r>
    </w:p>
    <w:p>
      <w:pPr>
        <w:pStyle w:val="Compact"/>
        <w:numPr>
          <w:ilvl w:val="0"/>
          <w:numId w:val="1002"/>
        </w:numPr>
      </w:pPr>
      <w:r>
        <w:t xml:space="preserve">Rolling-chip volume of nearly</w:t>
      </w:r>
      <w:r>
        <w:t xml:space="preserve"> </w:t>
      </w:r>
      <w:r>
        <w:rPr>
          <w:b/>
          <w:bCs/>
        </w:rPr>
        <w:t xml:space="preserve">$18 billion</w:t>
      </w:r>
    </w:p>
    <w:p>
      <w:pPr>
        <w:pStyle w:val="Compact"/>
        <w:numPr>
          <w:ilvl w:val="0"/>
          <w:numId w:val="1002"/>
        </w:numPr>
      </w:pPr>
      <w:r>
        <w:t xml:space="preserve">Hotel ADR above</w:t>
      </w:r>
      <w:r>
        <w:t xml:space="preserve"> </w:t>
      </w:r>
      <w:r>
        <w:rPr>
          <w:b/>
          <w:bCs/>
        </w:rPr>
        <w:t xml:space="preserve">$1,000</w:t>
      </w:r>
    </w:p>
    <w:p>
      <w:pPr>
        <w:pStyle w:val="FirstParagraph"/>
      </w:pPr>
      <w:r>
        <w:t xml:space="preserve">Those results reflected the completed suite renovations, higher-value tourism, strong mass gaming and a major increase in VIP volume. Companywide 1Q26 revenue rose 25% and consolidated property EBITDA reached $1.42 billion. (</w:t>
      </w:r>
      <w:hyperlink r:id="rId12">
        <w:r>
          <w:rPr>
            <w:rStyle w:val="Hyperlink"/>
          </w:rPr>
          <w:t xml:space="preserve">sec.gov</w:t>
        </w:r>
      </w:hyperlink>
      <w:r>
        <w:t xml:space="preserve">)</w:t>
      </w:r>
    </w:p>
    <w:bookmarkStart w:id="14" w:name="Xfdc232a6958b31414ccec5279e774691d1647e5"/>
    <w:p>
      <w:pPr>
        <w:pStyle w:val="Heading3"/>
      </w:pPr>
      <w:r>
        <w:t xml:space="preserve">The reported year-over-year comparison is misleading</w:t>
      </w:r>
    </w:p>
    <w:p>
      <w:pPr>
        <w:pStyle w:val="FirstParagraph"/>
      </w:pPr>
      <w:r>
        <w:t xml:space="preserve">JPMorgan expects approximately</w:t>
      </w:r>
      <w:r>
        <w:t xml:space="preserve"> </w:t>
      </w:r>
      <w:r>
        <w:rPr>
          <w:b/>
          <w:bCs/>
        </w:rPr>
        <w:t xml:space="preserve">$727 million of 2Q26 MBS EBITDA</w:t>
      </w:r>
      <w:r>
        <w:t xml:space="preserve">, down 5% from the</w:t>
      </w:r>
      <w:r>
        <w:t xml:space="preserve"> </w:t>
      </w:r>
      <m:oMath>
        <m:r>
          <m:t>768</m:t>
        </m:r>
        <m:r>
          <m:t>m</m:t>
        </m:r>
        <m:r>
          <m:t>i</m:t>
        </m:r>
        <m:r>
          <m:t>l</m:t>
        </m:r>
        <m:r>
          <m:t>l</m:t>
        </m:r>
        <m:r>
          <m:t>i</m:t>
        </m:r>
        <m:r>
          <m:t>o</m:t>
        </m:r>
        <m:r>
          <m:t>n</m:t>
        </m:r>
        <m:r>
          <m:t>r</m:t>
        </m:r>
        <m:r>
          <m:t>e</m:t>
        </m:r>
        <m:r>
          <m:t>p</m:t>
        </m:r>
        <m:r>
          <m:t>o</m:t>
        </m:r>
        <m:r>
          <m:t>r</m:t>
        </m:r>
        <m:r>
          <m:t>t</m:t>
        </m:r>
        <m:r>
          <m:t>e</m:t>
        </m:r>
        <m:r>
          <m:t>d</m:t>
        </m:r>
        <m:r>
          <m:t>i</m:t>
        </m:r>
        <m:r>
          <m:t>n</m:t>
        </m:r>
        <m:r>
          <m:t>2</m:t>
        </m:r>
        <m:r>
          <m:t>Q</m:t>
        </m:r>
        <m:r>
          <m:t>25</m:t>
        </m:r>
        <m:r>
          <m:rPr>
            <m:sty m:val="p"/>
          </m:rPr>
          <m:t>.</m:t>
        </m:r>
        <m:r>
          <m:t>B</m:t>
        </m:r>
        <m:r>
          <m:t>u</m:t>
        </m:r>
        <m:r>
          <m:t>t</m:t>
        </m:r>
        <m:r>
          <m:t>l</m:t>
        </m:r>
        <m:r>
          <m:t>a</m:t>
        </m:r>
        <m:r>
          <m:t>s</m:t>
        </m:r>
        <m:r>
          <m:t>t</m:t>
        </m:r>
        <m:r>
          <m:t>y</m:t>
        </m:r>
        <m:r>
          <m:t>e</m:t>
        </m:r>
        <m:r>
          <m:t>a</m:t>
        </m:r>
        <m:r>
          <m:t>r</m:t>
        </m:r>
        <m:r>
          <m:rPr>
            <m:sty m:val="p"/>
          </m:rPr>
          <m:t>’</m:t>
        </m:r>
        <m:r>
          <m:t>s</m:t>
        </m:r>
        <m:r>
          <m:t>q</m:t>
        </m:r>
        <m:r>
          <m:t>u</m:t>
        </m:r>
        <m:r>
          <m:t>a</m:t>
        </m:r>
        <m:r>
          <m:t>r</m:t>
        </m:r>
        <m:r>
          <m:t>t</m:t>
        </m:r>
        <m:r>
          <m:t>e</m:t>
        </m:r>
        <m:r>
          <m:t>r</m:t>
        </m:r>
        <m:r>
          <m:t>i</m:t>
        </m:r>
        <m:r>
          <m:t>n</m:t>
        </m:r>
        <m:r>
          <m:t>c</m:t>
        </m:r>
        <m:r>
          <m:t>l</m:t>
        </m:r>
        <m:r>
          <m:t>u</m:t>
        </m:r>
        <m:r>
          <m:t>d</m:t>
        </m:r>
        <m:r>
          <m:t>e</m:t>
        </m:r>
        <m:r>
          <m:t>d</m:t>
        </m:r>
        <m:r>
          <m:t>a</m:t>
        </m:r>
        <m:r>
          <m:t>p</m:t>
        </m:r>
        <m:r>
          <m:t>p</m:t>
        </m:r>
        <m:r>
          <m:t>r</m:t>
        </m:r>
        <m:r>
          <m:t>o</m:t>
        </m:r>
        <m:r>
          <m:t>x</m:t>
        </m:r>
        <m:r>
          <m:t>i</m:t>
        </m:r>
        <m:r>
          <m:t>m</m:t>
        </m:r>
        <m:r>
          <m:t>a</m:t>
        </m:r>
        <m:r>
          <m:t>t</m:t>
        </m:r>
        <m:r>
          <m:t>e</m:t>
        </m:r>
        <m:r>
          <m:t>l</m:t>
        </m:r>
        <m:r>
          <m:t>y</m:t>
        </m:r>
        <m:r>
          <m:rPr>
            <m:sty m:val="p"/>
          </m:rPr>
          <m:t>*</m:t>
        </m:r>
        <m:r>
          <m:rPr>
            <m:sty m:val="p"/>
          </m:rPr>
          <m:t>*</m:t>
        </m:r>
      </m:oMath>
      <w:r>
        <w:t xml:space="preserve">107 million of favorable rolling-chip hold**.</w:t>
      </w:r>
    </w:p>
    <w:p>
      <w:pPr>
        <w:pStyle w:val="BodyText"/>
      </w:pPr>
      <w:r>
        <w:t xml:space="preserve">That means:</w:t>
      </w:r>
    </w:p>
    <w:p>
      <w:pPr>
        <w:pStyle w:val="Compact"/>
        <w:numPr>
          <w:ilvl w:val="0"/>
          <w:numId w:val="1003"/>
        </w:numPr>
      </w:pPr>
      <w:r>
        <w:t xml:space="preserve">2Q25 reported MBS EBITDA:</w:t>
      </w:r>
      <w:r>
        <w:t xml:space="preserve"> </w:t>
      </w:r>
      <w:r>
        <w:rPr>
          <w:b/>
          <w:bCs/>
        </w:rPr>
        <w:t xml:space="preserve">$768M</w:t>
      </w:r>
    </w:p>
    <w:p>
      <w:pPr>
        <w:pStyle w:val="Compact"/>
        <w:numPr>
          <w:ilvl w:val="0"/>
          <w:numId w:val="1003"/>
        </w:numPr>
      </w:pPr>
      <w:r>
        <w:t xml:space="preserve">Less favorable-hold benefit:</w:t>
      </w:r>
      <w:r>
        <w:t xml:space="preserve"> </w:t>
      </w:r>
      <w:r>
        <w:rPr>
          <w:b/>
          <w:bCs/>
        </w:rPr>
        <w:t xml:space="preserve">$107M</w:t>
      </w:r>
    </w:p>
    <w:p>
      <w:pPr>
        <w:pStyle w:val="Compact"/>
        <w:numPr>
          <w:ilvl w:val="0"/>
          <w:numId w:val="1003"/>
        </w:numPr>
      </w:pPr>
      <w:r>
        <w:t xml:space="preserve">Approximate hold-normalized EBITDA:</w:t>
      </w:r>
      <w:r>
        <w:t xml:space="preserve"> </w:t>
      </w:r>
      <w:r>
        <w:rPr>
          <w:b/>
          <w:bCs/>
        </w:rPr>
        <w:t xml:space="preserve">$661M</w:t>
      </w:r>
    </w:p>
    <w:p>
      <w:pPr>
        <w:pStyle w:val="FirstParagraph"/>
      </w:pPr>
      <w:r>
        <w:t xml:space="preserve">On that basis, a $727 million result would represent roughly</w:t>
      </w:r>
      <w:r>
        <w:t xml:space="preserve"> </w:t>
      </w:r>
      <w:r>
        <w:rPr>
          <w:b/>
          <w:bCs/>
        </w:rPr>
        <w:t xml:space="preserve">10% underlying growth</w:t>
      </w:r>
      <w:r>
        <w:t xml:space="preserve">, not economic deterioration. JPMorgan also expects MBS revenue to rise about 3% to $1.42 billion. (</w:t>
      </w:r>
      <w:hyperlink r:id="rId13">
        <w:r>
          <w:rPr>
            <w:rStyle w:val="Hyperlink"/>
          </w:rPr>
          <w:t xml:space="preserve">ggrasia.com</w:t>
        </w:r>
      </w:hyperlink>
      <w:r>
        <w:t xml:space="preserve">)</w:t>
      </w:r>
    </w:p>
    <w:bookmarkEnd w:id="14"/>
    <w:bookmarkStart w:id="15" w:name="what-to-watch"/>
    <w:p>
      <w:pPr>
        <w:pStyle w:val="Heading3"/>
      </w:pPr>
      <w:r>
        <w:t xml:space="preserve">What to watch</w:t>
      </w:r>
    </w:p>
    <w:p>
      <w:pPr>
        <w:pStyle w:val="Compact"/>
        <w:numPr>
          <w:ilvl w:val="0"/>
          <w:numId w:val="1004"/>
        </w:numPr>
      </w:pPr>
      <w:r>
        <w:rPr>
          <w:b/>
          <w:bCs/>
        </w:rPr>
        <w:t xml:space="preserve">Mass gaming and slot volumes:</w:t>
      </w:r>
      <w:r>
        <w:t xml:space="preserve"> </w:t>
      </w:r>
      <w:r>
        <w:t xml:space="preserve">These are more repeatable than quarterly VIP wins.</w:t>
      </w:r>
    </w:p>
    <w:p>
      <w:pPr>
        <w:pStyle w:val="Compact"/>
        <w:numPr>
          <w:ilvl w:val="0"/>
          <w:numId w:val="1004"/>
        </w:numPr>
      </w:pPr>
      <w:r>
        <w:rPr>
          <w:b/>
          <w:bCs/>
        </w:rPr>
        <w:t xml:space="preserve">Rolling-chip volume:</w:t>
      </w:r>
      <w:r>
        <w:t xml:space="preserve"> </w:t>
      </w:r>
      <w:r>
        <w:t xml:space="preserve">1Q26’s approximately $18 billion was extraordinary and may be difficult to repeat.</w:t>
      </w:r>
    </w:p>
    <w:p>
      <w:pPr>
        <w:pStyle w:val="Compact"/>
        <w:numPr>
          <w:ilvl w:val="0"/>
          <w:numId w:val="1004"/>
        </w:numPr>
      </w:pPr>
      <w:r>
        <w:rPr>
          <w:b/>
          <w:bCs/>
        </w:rPr>
        <w:t xml:space="preserve">Theoretical versus actual hold:</w:t>
      </w:r>
      <w:r>
        <w:t xml:space="preserve"> </w:t>
      </w:r>
      <w:r>
        <w:t xml:space="preserve">Investors should separate volume growth from luck.</w:t>
      </w:r>
    </w:p>
    <w:p>
      <w:pPr>
        <w:pStyle w:val="Compact"/>
        <w:numPr>
          <w:ilvl w:val="0"/>
          <w:numId w:val="1004"/>
        </w:numPr>
      </w:pPr>
      <w:r>
        <w:rPr>
          <w:b/>
          <w:bCs/>
        </w:rPr>
        <w:t xml:space="preserve">Hotel ADR and occupancy:</w:t>
      </w:r>
      <w:r>
        <w:t xml:space="preserve"> </w:t>
      </w:r>
      <w:r>
        <w:t xml:space="preserve">Sustained ADR near four figures would reinforce the premiumization thesis.</w:t>
      </w:r>
    </w:p>
    <w:p>
      <w:pPr>
        <w:pStyle w:val="Compact"/>
        <w:numPr>
          <w:ilvl w:val="0"/>
          <w:numId w:val="1004"/>
        </w:numPr>
      </w:pPr>
      <w:r>
        <w:rPr>
          <w:b/>
          <w:bCs/>
        </w:rPr>
        <w:t xml:space="preserve">Credit losses:</w:t>
      </w:r>
      <w:r>
        <w:t xml:space="preserve"> </w:t>
      </w:r>
      <w:r>
        <w:t xml:space="preserve">Higher VIP activity can produce more quarterly volatility in receivable provisions.</w:t>
      </w:r>
    </w:p>
    <w:p>
      <w:pPr>
        <w:pStyle w:val="Compact"/>
        <w:numPr>
          <w:ilvl w:val="0"/>
          <w:numId w:val="1004"/>
        </w:numPr>
      </w:pPr>
      <w:r>
        <w:rPr>
          <w:b/>
          <w:bCs/>
        </w:rPr>
        <w:t xml:space="preserve">Management’s sustainable EBITDA framing:</w:t>
      </w:r>
      <w:r>
        <w:t xml:space="preserve"> </w:t>
      </w:r>
      <w:r>
        <w:t xml:space="preserve">Commentary supporting a normalized quarterly run rate above $700 million would be constructive.</w:t>
      </w:r>
    </w:p>
    <w:p>
      <w:pPr>
        <w:pStyle w:val="FirstParagraph"/>
      </w:pPr>
      <w:r>
        <w:rPr>
          <w:b/>
          <w:bCs/>
        </w:rPr>
        <w:t xml:space="preserve">Bottom line:</w:t>
      </w:r>
      <w:r>
        <w:t xml:space="preserve"> </w:t>
      </w:r>
      <w:r>
        <w:t xml:space="preserve">A reported MBS decline is not automatically bearish. Hold-adjusted growth and evidence that premium demand remains durable matter much more.</w:t>
      </w:r>
    </w:p>
    <w:p>
      <w:r>
        <w:pict>
          <v:rect style="width:0;height:1.5pt" o:hralign="center" o:hrstd="t" o:hr="t"/>
        </w:pict>
      </w:r>
    </w:p>
    <w:bookmarkEnd w:id="15"/>
    <w:bookmarkEnd w:id="16"/>
    <w:bookmarkStart w:id="23" w:name="Xa0ff4d05b2b0b3f2f633189fc5d2e5a86d8be1e"/>
    <w:p>
      <w:pPr>
        <w:pStyle w:val="Heading2"/>
      </w:pPr>
      <w:r>
        <w:t xml:space="preserve">2. Macao: share gains must offset a flat market and higher costs</w:t>
      </w:r>
    </w:p>
    <w:p>
      <w:pPr>
        <w:pStyle w:val="FirstParagraph"/>
      </w:pPr>
      <w:r>
        <w:t xml:space="preserve">Macao is the harder part of the quarter.</w:t>
      </w:r>
    </w:p>
    <w:p>
      <w:pPr>
        <w:pStyle w:val="BodyText"/>
      </w:pPr>
      <w:r>
        <w:t xml:space="preserve">Industry GGR totaled approximately</w:t>
      </w:r>
      <w:r>
        <w:t xml:space="preserve"> </w:t>
      </w:r>
      <w:r>
        <w:rPr>
          <w:b/>
          <w:bCs/>
        </w:rPr>
        <w:t xml:space="preserve">MOP61.0 billion in 2Q26, down 0.1% year over year and 7% sequentially</w:t>
      </w:r>
      <w:r>
        <w:t xml:space="preserve">. Mass-market GGR, including slots, increased only 0.8%, while VIP baccarat declined 2.6%. Slots were the bright spot, rising 17%. (</w:t>
      </w:r>
      <w:hyperlink r:id="rId17">
        <w:r>
          <w:rPr>
            <w:rStyle w:val="Hyperlink"/>
          </w:rPr>
          <w:t xml:space="preserve">ggrasia.com</w:t>
        </w:r>
      </w:hyperlink>
      <w:r>
        <w:t xml:space="preserve">)</w:t>
      </w:r>
    </w:p>
    <w:p>
      <w:pPr>
        <w:pStyle w:val="BodyText"/>
      </w:pPr>
      <w:r>
        <w:t xml:space="preserve">The monthly pattern was uneven:</w:t>
      </w:r>
    </w:p>
    <w:p>
      <w:pPr>
        <w:pStyle w:val="Compact"/>
        <w:numPr>
          <w:ilvl w:val="0"/>
          <w:numId w:val="1005"/>
        </w:numPr>
      </w:pPr>
      <w:r>
        <w:t xml:space="preserve">April GGR rose</w:t>
      </w:r>
      <w:r>
        <w:t xml:space="preserve"> </w:t>
      </w:r>
      <w:r>
        <w:rPr>
          <w:b/>
          <w:bCs/>
        </w:rPr>
        <w:t xml:space="preserve">5.5% year over year</w:t>
      </w:r>
      <w:r>
        <w:t xml:space="preserve">;</w:t>
      </w:r>
    </w:p>
    <w:p>
      <w:pPr>
        <w:pStyle w:val="Compact"/>
        <w:numPr>
          <w:ilvl w:val="0"/>
          <w:numId w:val="1005"/>
        </w:numPr>
      </w:pPr>
      <w:r>
        <w:t xml:space="preserve">May rose</w:t>
      </w:r>
      <w:r>
        <w:t xml:space="preserve"> </w:t>
      </w:r>
      <w:r>
        <w:rPr>
          <w:b/>
          <w:bCs/>
        </w:rPr>
        <w:t xml:space="preserve">6.7%</w:t>
      </w:r>
      <w:r>
        <w:t xml:space="preserve">;</w:t>
      </w:r>
    </w:p>
    <w:p>
      <w:pPr>
        <w:pStyle w:val="Compact"/>
        <w:numPr>
          <w:ilvl w:val="0"/>
          <w:numId w:val="1005"/>
        </w:numPr>
      </w:pPr>
      <w:r>
        <w:t xml:space="preserve">June weakened sharply enough to leave the full quarter essentially flat. (</w:t>
      </w:r>
      <w:hyperlink r:id="rId18">
        <w:r>
          <w:rPr>
            <w:rStyle w:val="Hyperlink"/>
          </w:rPr>
          <w:t xml:space="preserve">macaonews.org</w:t>
        </w:r>
      </w:hyperlink>
      <w:r>
        <w:t xml:space="preserve">)</w:t>
      </w:r>
    </w:p>
    <w:p>
      <w:pPr>
        <w:pStyle w:val="FirstParagraph"/>
      </w:pPr>
      <w:r>
        <w:t xml:space="preserve">That creates a tougher backdrop than in 1Q26, when LVS reported</w:t>
      </w:r>
      <w:r>
        <w:t xml:space="preserve"> </w:t>
      </w:r>
      <w:r>
        <w:rPr>
          <w:b/>
          <w:bCs/>
        </w:rPr>
        <w:t xml:space="preserve">$633 million of Macao EBITDA</w:t>
      </w:r>
      <w:r>
        <w:t xml:space="preserve">, up 18% year over year. Approximately $15 million of that result came from favorable rolling hold, putting normalized EBITDA closer to $618 million.</w:t>
      </w:r>
    </w:p>
    <w:bookmarkStart w:id="19" w:name="the-positive-case"/>
    <w:p>
      <w:pPr>
        <w:pStyle w:val="Heading3"/>
      </w:pPr>
      <w:r>
        <w:t xml:space="preserve">The positive case</w:t>
      </w:r>
    </w:p>
    <w:p>
      <w:pPr>
        <w:pStyle w:val="FirstParagraph"/>
      </w:pPr>
      <w:r>
        <w:t xml:space="preserve">LVS entered the quarter with several company-specific advantages:</w:t>
      </w:r>
    </w:p>
    <w:p>
      <w:pPr>
        <w:pStyle w:val="Compact"/>
        <w:numPr>
          <w:ilvl w:val="0"/>
          <w:numId w:val="1006"/>
        </w:numPr>
      </w:pPr>
      <w:r>
        <w:t xml:space="preserve">The Londoner Grand continued to ramp.</w:t>
      </w:r>
    </w:p>
    <w:p>
      <w:pPr>
        <w:pStyle w:val="Compact"/>
        <w:numPr>
          <w:ilvl w:val="0"/>
          <w:numId w:val="1006"/>
        </w:numPr>
      </w:pPr>
      <w:r>
        <w:t xml:space="preserve">Management said the portfolio gained share across gaming segments in 1Q.</w:t>
      </w:r>
    </w:p>
    <w:p>
      <w:pPr>
        <w:pStyle w:val="Compact"/>
        <w:numPr>
          <w:ilvl w:val="0"/>
          <w:numId w:val="1006"/>
        </w:numPr>
      </w:pPr>
      <w:r>
        <w:t xml:space="preserve">Londoner and Four Seasons premium-suite products were performing well.</w:t>
      </w:r>
    </w:p>
    <w:p>
      <w:pPr>
        <w:pStyle w:val="Compact"/>
        <w:numPr>
          <w:ilvl w:val="0"/>
          <w:numId w:val="1006"/>
        </w:numPr>
      </w:pPr>
      <w:r>
        <w:t xml:space="preserve">Slot and electronic-table-game activity was strong.</w:t>
      </w:r>
    </w:p>
    <w:p>
      <w:pPr>
        <w:pStyle w:val="Compact"/>
        <w:numPr>
          <w:ilvl w:val="0"/>
          <w:numId w:val="1006"/>
        </w:numPr>
      </w:pPr>
      <w:r>
        <w:t xml:space="preserve">Macao retail tenant sales reached a quarterly record in 1Q.</w:t>
      </w:r>
    </w:p>
    <w:p>
      <w:pPr>
        <w:pStyle w:val="Compact"/>
        <w:numPr>
          <w:ilvl w:val="0"/>
          <w:numId w:val="1006"/>
        </w:numPr>
      </w:pPr>
      <w:r>
        <w:t xml:space="preserve">Customer-reinvestment programs appeared to be becoming more targeted after the aggressive changes introduced in 2025.</w:t>
      </w:r>
    </w:p>
    <w:p>
      <w:pPr>
        <w:pStyle w:val="FirstParagraph"/>
      </w:pPr>
      <w:r>
        <w:t xml:space="preserve">These factors could allow Sands China to outperform a flat market.</w:t>
      </w:r>
    </w:p>
    <w:bookmarkEnd w:id="19"/>
    <w:bookmarkStart w:id="21" w:name="the-concern-market-share-is-not-free"/>
    <w:p>
      <w:pPr>
        <w:pStyle w:val="Heading3"/>
      </w:pPr>
      <w:r>
        <w:t xml:space="preserve">The concern: market share is not free</w:t>
      </w:r>
    </w:p>
    <w:p>
      <w:pPr>
        <w:pStyle w:val="FirstParagraph"/>
      </w:pPr>
      <w:r>
        <w:t xml:space="preserve">Management has been explicit that improving service requires additional hiring, training, marketing and customer reinvestment. Those initiatives should support revenue, but they put pressure on near-term margins.</w:t>
      </w:r>
    </w:p>
    <w:p>
      <w:pPr>
        <w:pStyle w:val="BodyText"/>
      </w:pPr>
      <w:r>
        <w:t xml:space="preserve">JPMorgan reportedly entered the reporting season with its Sands China EBITDA estimate</w:t>
      </w:r>
      <w:r>
        <w:t xml:space="preserve"> </w:t>
      </w:r>
      <w:r>
        <w:rPr>
          <w:b/>
          <w:bCs/>
        </w:rPr>
        <w:t xml:space="preserve">10% below Street consensus</w:t>
      </w:r>
      <w:r>
        <w:t xml:space="preserve">, citing softer premium demand, unfavorable hold, World Cup distraction and weakening Chinese consumer indicators. (</w:t>
      </w:r>
      <w:hyperlink r:id="rId20">
        <w:r>
          <w:rPr>
            <w:rStyle w:val="Hyperlink"/>
          </w:rPr>
          <w:t xml:space="preserve">asgam.com</w:t>
        </w:r>
      </w:hyperlink>
      <w:r>
        <w:t xml:space="preserve">)</w:t>
      </w:r>
    </w:p>
    <w:p>
      <w:pPr>
        <w:pStyle w:val="BodyText"/>
      </w:pPr>
      <w:r>
        <w:t xml:space="preserve">Investors should therefore focus on both</w:t>
      </w:r>
      <w:r>
        <w:t xml:space="preserve"> </w:t>
      </w:r>
      <w:r>
        <w:rPr>
          <w:b/>
          <w:bCs/>
        </w:rPr>
        <w:t xml:space="preserve">revenue share and the cost of acquiring that share</w:t>
      </w:r>
      <w:r>
        <w:t xml:space="preserve">.</w:t>
      </w:r>
    </w:p>
    <w:bookmarkEnd w:id="21"/>
    <w:bookmarkStart w:id="22" w:name="key-macao-questions"/>
    <w:p>
      <w:pPr>
        <w:pStyle w:val="Heading3"/>
      </w:pPr>
      <w:r>
        <w:t xml:space="preserve">Key Macao questions</w:t>
      </w:r>
    </w:p>
    <w:p>
      <w:pPr>
        <w:pStyle w:val="Compact"/>
        <w:numPr>
          <w:ilvl w:val="0"/>
          <w:numId w:val="1007"/>
        </w:numPr>
      </w:pPr>
      <w:r>
        <w:rPr>
          <w:b/>
          <w:bCs/>
        </w:rPr>
        <w:t xml:space="preserve">Did LVS continue gaining mass and premium-mass share?</w:t>
      </w:r>
    </w:p>
    <w:p>
      <w:pPr>
        <w:pStyle w:val="Compact"/>
        <w:numPr>
          <w:ilvl w:val="0"/>
          <w:numId w:val="1007"/>
        </w:numPr>
      </w:pPr>
      <w:r>
        <w:rPr>
          <w:b/>
          <w:bCs/>
        </w:rPr>
        <w:t xml:space="preserve">Did reinvestment expense stabilize sequentially?</w:t>
      </w:r>
    </w:p>
    <w:p>
      <w:pPr>
        <w:pStyle w:val="Compact"/>
        <w:numPr>
          <w:ilvl w:val="0"/>
          <w:numId w:val="1007"/>
        </w:numPr>
      </w:pPr>
      <w:r>
        <w:rPr>
          <w:b/>
          <w:bCs/>
        </w:rPr>
        <w:t xml:space="preserve">Can Macao EBITDA remain around or above $600 million in a seasonally softer quarter?</w:t>
      </w:r>
    </w:p>
    <w:p>
      <w:pPr>
        <w:pStyle w:val="Compact"/>
        <w:numPr>
          <w:ilvl w:val="0"/>
          <w:numId w:val="1007"/>
        </w:numPr>
      </w:pPr>
      <w:r>
        <w:rPr>
          <w:b/>
          <w:bCs/>
        </w:rPr>
        <w:t xml:space="preserve">Is management still comfortable with its longer-term target of $700 million-plus of quarterly EBITDA?</w:t>
      </w:r>
    </w:p>
    <w:p>
      <w:pPr>
        <w:pStyle w:val="Compact"/>
        <w:numPr>
          <w:ilvl w:val="0"/>
          <w:numId w:val="1007"/>
        </w:numPr>
      </w:pPr>
      <w:r>
        <w:rPr>
          <w:b/>
          <w:bCs/>
        </w:rPr>
        <w:t xml:space="preserve">How much disruption is expected from the Venetian room-and-suite renovation?</w:t>
      </w:r>
    </w:p>
    <w:p>
      <w:pPr>
        <w:pStyle w:val="Compact"/>
        <w:numPr>
          <w:ilvl w:val="0"/>
          <w:numId w:val="1007"/>
        </w:numPr>
      </w:pPr>
      <w:r>
        <w:rPr>
          <w:b/>
          <w:bCs/>
        </w:rPr>
        <w:t xml:space="preserve">Are the new service hires producing higher-value patron growth, or merely raising fixed costs?</w:t>
      </w:r>
    </w:p>
    <w:p>
      <w:pPr>
        <w:pStyle w:val="FirstParagraph"/>
      </w:pPr>
      <w:r>
        <w:t xml:space="preserve">A result below 1Q26 is expected. The market reaction should depend on whether the decline reflects normal seasonality and hold or a deterioration in competitive position.</w:t>
      </w:r>
    </w:p>
    <w:p>
      <w:r>
        <w:pict>
          <v:rect style="width:0;height:1.5pt" o:hralign="center" o:hrstd="t" o:hr="t"/>
        </w:pict>
      </w:r>
    </w:p>
    <w:bookmarkEnd w:id="22"/>
    <w:bookmarkEnd w:id="23"/>
    <w:bookmarkStart w:id="24" w:name="X775c87b73b88777a6c05207f1b762814c6594df"/>
    <w:p>
      <w:pPr>
        <w:pStyle w:val="Heading2"/>
      </w:pPr>
      <w:r>
        <w:t xml:space="preserve">3. Capital allocation could cushion a merely in-line operating result</w:t>
      </w:r>
    </w:p>
    <w:p>
      <w:pPr>
        <w:pStyle w:val="FirstParagraph"/>
      </w:pPr>
      <w:r>
        <w:t xml:space="preserve">LVS repurchased</w:t>
      </w:r>
      <w:r>
        <w:t xml:space="preserve"> </w:t>
      </w:r>
      <w:r>
        <w:rPr>
          <w:b/>
          <w:bCs/>
        </w:rPr>
        <w:t xml:space="preserve">$740 million of stock in 1Q26</w:t>
      </w:r>
      <w:r>
        <w:t xml:space="preserve">, buying approximately 13 million shares at an average price of</w:t>
      </w:r>
      <w:r>
        <w:t xml:space="preserve"> </w:t>
      </w:r>
      <m:oMath>
        <m:r>
          <m:t>56.64</m:t>
        </m:r>
        <m:r>
          <m:rPr>
            <m:sty m:val="p"/>
          </m:rPr>
          <m:t>.</m:t>
        </m:r>
        <m:r>
          <m:t>T</m:t>
        </m:r>
        <m:r>
          <m:t>h</m:t>
        </m:r>
        <m:r>
          <m:t>e</m:t>
        </m:r>
        <m:r>
          <m:t>c</m:t>
        </m:r>
        <m:r>
          <m:t>o</m:t>
        </m:r>
        <m:r>
          <m:t>m</m:t>
        </m:r>
        <m:r>
          <m:t>p</m:t>
        </m:r>
        <m:r>
          <m:t>a</m:t>
        </m:r>
        <m:r>
          <m:t>n</m:t>
        </m:r>
        <m:r>
          <m:t>y</m:t>
        </m:r>
        <m:r>
          <m:t>h</m:t>
        </m:r>
        <m:r>
          <m:t>a</m:t>
        </m:r>
        <m:r>
          <m:t>d</m:t>
        </m:r>
        <m:r>
          <m:rPr>
            <m:sty m:val="p"/>
          </m:rPr>
          <m:t>*</m:t>
        </m:r>
        <m:r>
          <m:rPr>
            <m:sty m:val="p"/>
          </m:rPr>
          <m:t>*</m:t>
        </m:r>
      </m:oMath>
      <w:r>
        <w:t xml:space="preserve">817 million remaining** under its authorization at the end of March and had reduced its outstanding share count by 14.3% over the prior ten quarters.</w:t>
      </w:r>
    </w:p>
    <w:p>
      <w:pPr>
        <w:pStyle w:val="BodyText"/>
      </w:pPr>
      <w:r>
        <w:t xml:space="preserve">It also pays a quarterly dividend of</w:t>
      </w:r>
      <w:r>
        <w:t xml:space="preserve"> </w:t>
      </w:r>
      <w:r>
        <w:rPr>
          <w:b/>
          <w:bCs/>
        </w:rPr>
        <w:t xml:space="preserve">$0.30 per share</w:t>
      </w:r>
      <w:r>
        <w:t xml:space="preserve">. (</w:t>
      </w:r>
      <w:hyperlink r:id="rId12">
        <w:r>
          <w:rPr>
            <w:rStyle w:val="Hyperlink"/>
          </w:rPr>
          <w:t xml:space="preserve">sec.gov</w:t>
        </w:r>
      </w:hyperlink>
      <w:r>
        <w:t xml:space="preserve">)</w:t>
      </w:r>
    </w:p>
    <w:p>
      <w:pPr>
        <w:pStyle w:val="BodyText"/>
      </w:pPr>
      <w:r>
        <w:t xml:space="preserve">With the stock trading well below the company’s 1Q repurchase price, investors should expect questions about:</w:t>
      </w:r>
    </w:p>
    <w:p>
      <w:pPr>
        <w:pStyle w:val="Compact"/>
        <w:numPr>
          <w:ilvl w:val="0"/>
          <w:numId w:val="1008"/>
        </w:numPr>
      </w:pPr>
      <w:r>
        <w:t xml:space="preserve">How much stock was repurchased during 2Q;</w:t>
      </w:r>
    </w:p>
    <w:p>
      <w:pPr>
        <w:pStyle w:val="Compact"/>
        <w:numPr>
          <w:ilvl w:val="0"/>
          <w:numId w:val="1008"/>
        </w:numPr>
      </w:pPr>
      <w:r>
        <w:t xml:space="preserve">Whether the authorization will be enlarged;</w:t>
      </w:r>
    </w:p>
    <w:p>
      <w:pPr>
        <w:pStyle w:val="Compact"/>
        <w:numPr>
          <w:ilvl w:val="0"/>
          <w:numId w:val="1008"/>
        </w:numPr>
      </w:pPr>
      <w:r>
        <w:t xml:space="preserve">The balance between LVS and Sands China share purchases;</w:t>
      </w:r>
    </w:p>
    <w:p>
      <w:pPr>
        <w:pStyle w:val="Compact"/>
        <w:numPr>
          <w:ilvl w:val="0"/>
          <w:numId w:val="1008"/>
        </w:numPr>
      </w:pPr>
      <w:r>
        <w:t xml:space="preserve">Whether management sees the current share price as an unusually attractive use of capital.</w:t>
      </w:r>
    </w:p>
    <w:p>
      <w:pPr>
        <w:pStyle w:val="FirstParagraph"/>
      </w:pPr>
      <w:r>
        <w:t xml:space="preserve">A substantial buyback could allow adjusted EPS to hold near last year’s level even if consolidated property EBITDA is only flat or modestly lower.</w:t>
      </w:r>
    </w:p>
    <w:p>
      <w:r>
        <w:pict>
          <v:rect style="width:0;height:1.5pt" o:hralign="center" o:hrstd="t" o:hr="t"/>
        </w:pict>
      </w:r>
    </w:p>
    <w:bookmarkEnd w:id="24"/>
    <w:bookmarkStart w:id="25" w:name="Xdf61b2b332e03ecbe1696a6481252605ed6958e"/>
    <w:p>
      <w:pPr>
        <w:pStyle w:val="Heading2"/>
      </w:pPr>
      <w:r>
        <w:t xml:space="preserve">4. Capex and the MBS expansion: long-term upside, near-term cash demands</w:t>
      </w:r>
    </w:p>
    <w:p>
      <w:pPr>
        <w:pStyle w:val="FirstParagraph"/>
      </w:pPr>
      <w:r>
        <w:t xml:space="preserve">LVS’s investment case increasingly combines current cash generation with a large construction commitment.</w:t>
      </w:r>
    </w:p>
    <w:p>
      <w:pPr>
        <w:pStyle w:val="BodyText"/>
      </w:pPr>
      <w:r>
        <w:t xml:space="preserve">The Marina Bay Sands expansion is expected to cost approximately</w:t>
      </w:r>
      <w:r>
        <w:t xml:space="preserve"> </w:t>
      </w:r>
      <w:r>
        <w:rPr>
          <w:b/>
          <w:bCs/>
        </w:rPr>
        <w:t xml:space="preserve">$8 billion</w:t>
      </w:r>
      <w:r>
        <w:t xml:space="preserve">, including land, financing fees and capitalized interest. The project is designed to add luxury hotel inventory, premium gaming areas, convention facilities and a roughly 15,000-seat entertainment arena. Construction began in 2025, with the company targeting completion around 2030 and opening in 2031.</w:t>
      </w:r>
    </w:p>
    <w:p>
      <w:pPr>
        <w:pStyle w:val="BodyText"/>
      </w:pPr>
      <w:r>
        <w:t xml:space="preserve">Management has discussed targeting a return on invested capital above 20%, but the project will raise capital expenditures and debt well before it contributes earnings.</w:t>
      </w:r>
    </w:p>
    <w:p>
      <w:pPr>
        <w:pStyle w:val="BodyText"/>
      </w:pPr>
      <w:r>
        <w:t xml:space="preserve">Questions for the call include:</w:t>
      </w:r>
    </w:p>
    <w:p>
      <w:pPr>
        <w:pStyle w:val="Compact"/>
        <w:numPr>
          <w:ilvl w:val="0"/>
          <w:numId w:val="1009"/>
        </w:numPr>
      </w:pPr>
      <w:r>
        <w:t xml:space="preserve">Updated MBS expansion cost and timeline;</w:t>
      </w:r>
    </w:p>
    <w:p>
      <w:pPr>
        <w:pStyle w:val="Compact"/>
        <w:numPr>
          <w:ilvl w:val="0"/>
          <w:numId w:val="1009"/>
        </w:numPr>
      </w:pPr>
      <w:r>
        <w:t xml:space="preserve">2026–2028 capex pacing;</w:t>
      </w:r>
    </w:p>
    <w:p>
      <w:pPr>
        <w:pStyle w:val="Compact"/>
        <w:numPr>
          <w:ilvl w:val="0"/>
          <w:numId w:val="1009"/>
        </w:numPr>
      </w:pPr>
      <w:r>
        <w:t xml:space="preserve">Whether commodity, labor or financing costs have changed;</w:t>
      </w:r>
    </w:p>
    <w:p>
      <w:pPr>
        <w:pStyle w:val="Compact"/>
        <w:numPr>
          <w:ilvl w:val="0"/>
          <w:numId w:val="1009"/>
        </w:numPr>
      </w:pPr>
      <w:r>
        <w:t xml:space="preserve">How much capitalized interest will reduce reported interest expense;</w:t>
      </w:r>
    </w:p>
    <w:p>
      <w:pPr>
        <w:pStyle w:val="Compact"/>
        <w:numPr>
          <w:ilvl w:val="0"/>
          <w:numId w:val="1009"/>
        </w:numPr>
      </w:pPr>
      <w:r>
        <w:t xml:space="preserve">Whether buybacks remain a priority as construction spending accelerates.</w:t>
      </w:r>
    </w:p>
    <w:p>
      <w:pPr>
        <w:pStyle w:val="FirstParagraph"/>
      </w:pPr>
      <w:r>
        <w:t xml:space="preserve">LVS ended 1Q with</w:t>
      </w:r>
      <w:r>
        <w:t xml:space="preserve"> </w:t>
      </w:r>
      <w:r>
        <w:rPr>
          <w:b/>
          <w:bCs/>
        </w:rPr>
        <w:t xml:space="preserve">$3.33 billion in unrestricted cash</w:t>
      </w:r>
      <w:r>
        <w:t xml:space="preserve">, approximately $15.6 billion of debt and significant unused credit capacity. The balance sheet appears capable of supporting both development and shareholder returns, but execution and cost control will become more important as the project advances. (</w:t>
      </w:r>
      <w:hyperlink r:id="rId12">
        <w:r>
          <w:rPr>
            <w:rStyle w:val="Hyperlink"/>
          </w:rPr>
          <w:t xml:space="preserve">sec.gov</w:t>
        </w:r>
      </w:hyperlink>
      <w:r>
        <w:t xml:space="preserve">)</w:t>
      </w:r>
    </w:p>
    <w:p>
      <w:r>
        <w:pict>
          <v:rect style="width:0;height:1.5pt" o:hralign="center" o:hrstd="t" o:hr="t"/>
        </w:pict>
      </w:r>
    </w:p>
    <w:bookmarkEnd w:id="25"/>
    <w:bookmarkStart w:id="29" w:name="potential-stock-reaction-framework"/>
    <w:p>
      <w:pPr>
        <w:pStyle w:val="Heading2"/>
      </w:pPr>
      <w:r>
        <w:t xml:space="preserve">Potential stock-reaction framework</w:t>
      </w:r>
    </w:p>
    <w:bookmarkStart w:id="26" w:name="bullish-print"/>
    <w:p>
      <w:pPr>
        <w:pStyle w:val="Heading3"/>
      </w:pPr>
      <w:r>
        <w:t xml:space="preserve">Bullish print</w:t>
      </w:r>
    </w:p>
    <w:p>
      <w:pPr>
        <w:pStyle w:val="Compact"/>
        <w:numPr>
          <w:ilvl w:val="0"/>
          <w:numId w:val="1010"/>
        </w:numPr>
      </w:pPr>
      <w:r>
        <w:t xml:space="preserve">Revenue and adjusted EPS above consensus;</w:t>
      </w:r>
    </w:p>
    <w:p>
      <w:pPr>
        <w:pStyle w:val="Compact"/>
        <w:numPr>
          <w:ilvl w:val="0"/>
          <w:numId w:val="1010"/>
        </w:numPr>
      </w:pPr>
      <w:r>
        <w:t xml:space="preserve">MBS EBITDA around or above $750 million with normal hold;</w:t>
      </w:r>
    </w:p>
    <w:p>
      <w:pPr>
        <w:pStyle w:val="Compact"/>
        <w:numPr>
          <w:ilvl w:val="0"/>
          <w:numId w:val="1010"/>
        </w:numPr>
      </w:pPr>
      <w:r>
        <w:t xml:space="preserve">Macao EBITDA near or above $600 million despite the flat market;</w:t>
      </w:r>
    </w:p>
    <w:p>
      <w:pPr>
        <w:pStyle w:val="Compact"/>
        <w:numPr>
          <w:ilvl w:val="0"/>
          <w:numId w:val="1010"/>
        </w:numPr>
      </w:pPr>
      <w:r>
        <w:t xml:space="preserve">Additional Macao market-share gains without further margin deterioration;</w:t>
      </w:r>
    </w:p>
    <w:p>
      <w:pPr>
        <w:pStyle w:val="Compact"/>
        <w:numPr>
          <w:ilvl w:val="0"/>
          <w:numId w:val="1010"/>
        </w:numPr>
      </w:pPr>
      <w:r>
        <w:t xml:space="preserve">Strong buybacks or an increased authorization;</w:t>
      </w:r>
    </w:p>
    <w:p>
      <w:pPr>
        <w:pStyle w:val="Compact"/>
        <w:numPr>
          <w:ilvl w:val="0"/>
          <w:numId w:val="1010"/>
        </w:numPr>
      </w:pPr>
      <w:r>
        <w:t xml:space="preserve">Reaffirmation of the Macao $700 million-plus EBITDA opportunity and MBS expansion returns.</w:t>
      </w:r>
    </w:p>
    <w:bookmarkEnd w:id="26"/>
    <w:bookmarkStart w:id="27" w:name="in-line--mixed-print"/>
    <w:p>
      <w:pPr>
        <w:pStyle w:val="Heading3"/>
      </w:pPr>
      <w:r>
        <w:t xml:space="preserve">In-line / mixed print</w:t>
      </w:r>
    </w:p>
    <w:p>
      <w:pPr>
        <w:pStyle w:val="Compact"/>
        <w:numPr>
          <w:ilvl w:val="0"/>
          <w:numId w:val="1011"/>
        </w:numPr>
      </w:pPr>
      <w:r>
        <w:t xml:space="preserve">MBS near the roughly $725 million expectation;</w:t>
      </w:r>
    </w:p>
    <w:p>
      <w:pPr>
        <w:pStyle w:val="Compact"/>
        <w:numPr>
          <w:ilvl w:val="0"/>
          <w:numId w:val="1011"/>
        </w:numPr>
      </w:pPr>
      <w:r>
        <w:t xml:space="preserve">Macao sequentially lower but broadly consistent with seasonality;</w:t>
      </w:r>
    </w:p>
    <w:p>
      <w:pPr>
        <w:pStyle w:val="Compact"/>
        <w:numPr>
          <w:ilvl w:val="0"/>
          <w:numId w:val="1011"/>
        </w:numPr>
      </w:pPr>
      <w:r>
        <w:t xml:space="preserve">Adjusted EPS around</w:t>
      </w:r>
      <w:r>
        <w:t xml:space="preserve"> </w:t>
      </w:r>
      <m:oMath>
        <m:r>
          <m:t>0.77</m:t>
        </m:r>
        <m:r>
          <m:rPr>
            <m:sty m:val="p"/>
          </m:rPr>
          <m:t>–</m:t>
        </m:r>
      </m:oMath>
      <w:r>
        <w:t xml:space="preserve">0.78;</w:t>
      </w:r>
    </w:p>
    <w:p>
      <w:pPr>
        <w:pStyle w:val="Compact"/>
        <w:numPr>
          <w:ilvl w:val="0"/>
          <w:numId w:val="1011"/>
        </w:numPr>
      </w:pPr>
      <w:r>
        <w:t xml:space="preserve">Continued service and reinvestment costs, offset by a lower share count;</w:t>
      </w:r>
    </w:p>
    <w:p>
      <w:pPr>
        <w:pStyle w:val="Compact"/>
        <w:numPr>
          <w:ilvl w:val="0"/>
          <w:numId w:val="1011"/>
        </w:numPr>
      </w:pPr>
      <w:r>
        <w:t xml:space="preserve">No material change to expansion cost or timing.</w:t>
      </w:r>
    </w:p>
    <w:p>
      <w:pPr>
        <w:pStyle w:val="FirstParagraph"/>
      </w:pPr>
      <w:r>
        <w:t xml:space="preserve">Given the recent stock decline and subdued Macao expectations, this outcome may be sufficient if underlying MBS demand remains strong.</w:t>
      </w:r>
    </w:p>
    <w:bookmarkEnd w:id="27"/>
    <w:bookmarkStart w:id="28" w:name="bearish-print"/>
    <w:p>
      <w:pPr>
        <w:pStyle w:val="Heading3"/>
      </w:pPr>
      <w:r>
        <w:t xml:space="preserve">Bearish print</w:t>
      </w:r>
    </w:p>
    <w:p>
      <w:pPr>
        <w:pStyle w:val="Compact"/>
        <w:numPr>
          <w:ilvl w:val="0"/>
          <w:numId w:val="1012"/>
        </w:numPr>
      </w:pPr>
      <w:r>
        <w:t xml:space="preserve">MBS EBITDA below $700 million absent clearly unfavorable hold;</w:t>
      </w:r>
    </w:p>
    <w:p>
      <w:pPr>
        <w:pStyle w:val="Compact"/>
        <w:numPr>
          <w:ilvl w:val="0"/>
          <w:numId w:val="1012"/>
        </w:numPr>
      </w:pPr>
      <w:r>
        <w:t xml:space="preserve">Sharp sequential decline in rolling or mass-market volumes;</w:t>
      </w:r>
    </w:p>
    <w:p>
      <w:pPr>
        <w:pStyle w:val="Compact"/>
        <w:numPr>
          <w:ilvl w:val="0"/>
          <w:numId w:val="1012"/>
        </w:numPr>
      </w:pPr>
      <w:r>
        <w:t xml:space="preserve">Macao EBITDA materially below $600 million;</w:t>
      </w:r>
    </w:p>
    <w:p>
      <w:pPr>
        <w:pStyle w:val="Compact"/>
        <w:numPr>
          <w:ilvl w:val="0"/>
          <w:numId w:val="1012"/>
        </w:numPr>
      </w:pPr>
      <w:r>
        <w:t xml:space="preserve">Lost market share or another step-up in promotional intensity;</w:t>
      </w:r>
    </w:p>
    <w:p>
      <w:pPr>
        <w:pStyle w:val="Compact"/>
        <w:numPr>
          <w:ilvl w:val="0"/>
          <w:numId w:val="1012"/>
        </w:numPr>
      </w:pPr>
      <w:r>
        <w:t xml:space="preserve">Weak margins despite higher revenue;</w:t>
      </w:r>
    </w:p>
    <w:p>
      <w:pPr>
        <w:pStyle w:val="Compact"/>
        <w:numPr>
          <w:ilvl w:val="0"/>
          <w:numId w:val="1012"/>
        </w:numPr>
      </w:pPr>
      <w:r>
        <w:t xml:space="preserve">Lower buyback activity alongside higher capex or expansion costs;</w:t>
      </w:r>
    </w:p>
    <w:p>
      <w:pPr>
        <w:pStyle w:val="Compact"/>
        <w:numPr>
          <w:ilvl w:val="0"/>
          <w:numId w:val="1012"/>
        </w:numPr>
      </w:pPr>
      <w:r>
        <w:t xml:space="preserve">Cautious commentary on Chinese premium demand or Singapore’s sustainable earnings run rate.</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The headline EPS number may be less important than the composition of EBITDA.</w:t>
      </w:r>
    </w:p>
    <w:p>
      <w:pPr>
        <w:pStyle w:val="BodyText"/>
      </w:pPr>
      <w:r>
        <w:t xml:space="preserve">The most useful scorecard is:</w:t>
      </w:r>
    </w:p>
    <w:p>
      <w:pPr>
        <w:pStyle w:val="Compact"/>
        <w:numPr>
          <w:ilvl w:val="0"/>
          <w:numId w:val="1013"/>
        </w:numPr>
      </w:pPr>
      <w:r>
        <w:rPr>
          <w:b/>
          <w:bCs/>
        </w:rPr>
        <w:t xml:space="preserve">MBS EBITDA adjusted for gaming hold</w:t>
      </w:r>
    </w:p>
    <w:p>
      <w:pPr>
        <w:pStyle w:val="Compact"/>
        <w:numPr>
          <w:ilvl w:val="0"/>
          <w:numId w:val="1013"/>
        </w:numPr>
      </w:pPr>
      <w:r>
        <w:rPr>
          <w:b/>
          <w:bCs/>
        </w:rPr>
        <w:t xml:space="preserve">Sands China revenue share versus margin</w:t>
      </w:r>
    </w:p>
    <w:p>
      <w:pPr>
        <w:pStyle w:val="Compact"/>
        <w:numPr>
          <w:ilvl w:val="0"/>
          <w:numId w:val="1013"/>
        </w:numPr>
      </w:pPr>
      <w:r>
        <w:rPr>
          <w:b/>
          <w:bCs/>
        </w:rPr>
        <w:t xml:space="preserve">Premium and mass-market gaming volumes</w:t>
      </w:r>
    </w:p>
    <w:p>
      <w:pPr>
        <w:pStyle w:val="Compact"/>
        <w:numPr>
          <w:ilvl w:val="0"/>
          <w:numId w:val="1013"/>
        </w:numPr>
      </w:pPr>
      <w:r>
        <w:rPr>
          <w:b/>
          <w:bCs/>
        </w:rPr>
        <w:t xml:space="preserve">Buyback pace</w:t>
      </w:r>
    </w:p>
    <w:p>
      <w:pPr>
        <w:pStyle w:val="Compact"/>
        <w:numPr>
          <w:ilvl w:val="0"/>
          <w:numId w:val="1013"/>
        </w:numPr>
      </w:pPr>
      <w:r>
        <w:rPr>
          <w:b/>
          <w:bCs/>
        </w:rPr>
        <w:t xml:space="preserve">Expansion capex and return expectations</w:t>
      </w:r>
    </w:p>
    <w:p>
      <w:pPr>
        <w:pStyle w:val="FirstParagraph"/>
      </w:pPr>
      <w:r>
        <w:t xml:space="preserve">The bar appears reasonable rather than demanding. Macao industry conditions softened materially from 1Q, and expectations for MBS already contemplate a reported year-over-year EBITDA decline. But last year’s unusually favorable Singapore hold makes that comparison deceptive: a roughly $725 million MBS result could still demonstrate healthy underlying growth.</w:t>
      </w:r>
    </w:p>
    <w:p>
      <w:pPr>
        <w:pStyle w:val="BodyText"/>
      </w:pPr>
      <w:r>
        <w:t xml:space="preserve">For the stock to respond decisively higher, investors will likely need evidence that</w:t>
      </w:r>
      <w:r>
        <w:t xml:space="preserve"> </w:t>
      </w:r>
      <w:r>
        <w:rPr>
          <w:b/>
          <w:bCs/>
        </w:rPr>
        <w:t xml:space="preserve">MBS’s post-renovation earnings step-up is durable and Sands China can approach its $700 million quarterly EBITDA ambition without sacrificing too much margin to achieve it</w:t>
      </w:r>
      <w:r>
        <w:t xml:space="preserv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asgam.com/2026/07/15/j-p-morgan-below-consensus-with-expectations-low-for-macau-concessionaire-2q26-results-and-beyond/" TargetMode="External" /><Relationship Type="http://schemas.openxmlformats.org/officeDocument/2006/relationships/hyperlink" Id="rId18" Target="https://macaonews.org/news/business/macau-gross-gaming-revenue-april-2026-macao/" TargetMode="External" /><Relationship Type="http://schemas.openxmlformats.org/officeDocument/2006/relationships/hyperlink" Id="rId9" Target="https://www.barchart.com/stocks/quotes/lvs/earnings-estimates" TargetMode="External" /><Relationship Type="http://schemas.openxmlformats.org/officeDocument/2006/relationships/hyperlink" Id="rId17" Target="https://www.ggrasia.com/macaus-vip-baccarat-revenue-down-2-6pct-y-o-y-in-2q-slot-ggr-grows-17pct" TargetMode="External" /><Relationship Type="http://schemas.openxmlformats.org/officeDocument/2006/relationships/hyperlink" Id="rId13" Target="https://www.ggrasia.com/singapores-marina-bay-sands-2q-ebitda-likely-down-5pct-y-o-y-jp-morgan" TargetMode="External" /><Relationship Type="http://schemas.openxmlformats.org/officeDocument/2006/relationships/hyperlink" Id="rId12" Target="https://www.sec.gov/Archives/edgar/data/1300514/000130051426000039/lvs_ex991x03312026.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20" Target="https://asgam.com/2026/07/15/j-p-morgan-below-consensus-with-expectations-low-for-macau-concessionaire-2q26-results-and-beyond/" TargetMode="External" /><Relationship Type="http://schemas.openxmlformats.org/officeDocument/2006/relationships/hyperlink" Id="rId18" Target="https://macaonews.org/news/business/macau-gross-gaming-revenue-april-2026-macao/" TargetMode="External" /><Relationship Type="http://schemas.openxmlformats.org/officeDocument/2006/relationships/hyperlink" Id="rId9" Target="https://www.barchart.com/stocks/quotes/lvs/earnings-estimates" TargetMode="External" /><Relationship Type="http://schemas.openxmlformats.org/officeDocument/2006/relationships/hyperlink" Id="rId17" Target="https://www.ggrasia.com/macaus-vip-baccarat-revenue-down-2-6pct-y-o-y-in-2q-slot-ggr-grows-17pct" TargetMode="External" /><Relationship Type="http://schemas.openxmlformats.org/officeDocument/2006/relationships/hyperlink" Id="rId13" Target="https://www.ggrasia.com/singapores-marina-bay-sands-2q-ebitda-likely-down-5pct-y-o-y-jp-morgan" TargetMode="External" /><Relationship Type="http://schemas.openxmlformats.org/officeDocument/2006/relationships/hyperlink" Id="rId12" Target="https://www.sec.gov/Archives/edgar/data/1300514/000130051426000039/lvs_ex991x03312026.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2026-07-22T00:35:18Z</dcterms:created>
  <dcterms:modified xsi:type="dcterms:W3CDTF">2026-07-22T00:35:18Z</dcterms:modified>
</cp:coreProperties>
</file>

<file path=docProps/custom.xml><?xml version="1.0" encoding="utf-8"?>
<Properties xmlns="http://schemas.openxmlformats.org/officeDocument/2006/custom-properties" xmlns:vt="http://schemas.openxmlformats.org/officeDocument/2006/docPropsVTypes"/>
</file>