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8" w:name="Xa59dbe328aeaa54276a9b93d52202c2ecb9de64"/>
    <w:p>
      <w:pPr>
        <w:pStyle w:val="Heading1"/>
      </w:pPr>
      <w:r>
        <w:t xml:space="preserve">Las Vegas Sands (NYSE: LVS) — 2Q26 Earnings Preview</w:t>
      </w:r>
    </w:p>
    <w:p>
      <w:pPr>
        <w:pStyle w:val="BlockText"/>
      </w:pPr>
      <w:r>
        <w:rPr>
          <w:b/>
          <w:bCs/>
        </w:rPr>
        <w:t xml:space="preserve">Timing note:</w:t>
      </w:r>
      <w:r>
        <w:t xml:space="preserve"> </w:t>
      </w:r>
      <w:r>
        <w:t xml:space="preserve">July 22, 2026 is</w:t>
      </w:r>
      <w:r>
        <w:t xml:space="preserve"> </w:t>
      </w:r>
      <w:r>
        <w:rPr>
          <w:b/>
          <w:bCs/>
        </w:rPr>
        <w:t xml:space="preserve">today</w:t>
      </w:r>
      <w:r>
        <w:t xml:space="preserve">, not tomorrow. LVS is scheduled to release 2Q26 results</w:t>
      </w:r>
      <w:r>
        <w:t xml:space="preserve"> </w:t>
      </w:r>
      <w:r>
        <w:rPr>
          <w:b/>
          <w:bCs/>
        </w:rPr>
        <w:t xml:space="preserve">after the U.S. market close today</w:t>
      </w:r>
      <w:r>
        <w:t xml:space="preserve">, followed by a conference call at approximately</w:t>
      </w:r>
      <w:r>
        <w:t xml:space="preserve"> </w:t>
      </w:r>
      <w:r>
        <w:rPr>
          <w:b/>
          <w:bCs/>
        </w:rPr>
        <w:t xml:space="preserve">1:30 p.m. Pacific / 4:30 p.m. Eastern</w:t>
      </w:r>
      <w:r>
        <w:t xml:space="preserve">. (</w:t>
      </w:r>
      <w:hyperlink r:id="rId9">
        <w:r>
          <w:rPr>
            <w:rStyle w:val="Hyperlink"/>
          </w:rPr>
          <w:t xml:space="preserve">prnewswire.com</w:t>
        </w:r>
      </w:hyperlink>
      <w:r>
        <w:t xml:space="preserve">)</w:t>
      </w:r>
    </w:p>
    <w:bookmarkStart w:id="11" w:name="Xee48d34547933797231ad10ffaa157aaabe36dd"/>
    <w:p>
      <w:pPr>
        <w:pStyle w:val="Heading2"/>
      </w:pPr>
      <w:r>
        <w:t xml:space="preserve">Investment view: the report is about</w:t>
      </w:r>
      <w:r>
        <w:t xml:space="preserve"> </w:t>
      </w:r>
      <w:r>
        <w:rPr>
          <w:i/>
          <w:iCs/>
        </w:rPr>
        <w:t xml:space="preserve">quality and durability</w:t>
      </w:r>
      <w:r>
        <w:t xml:space="preserve"> </w:t>
      </w:r>
      <w:r>
        <w:t xml:space="preserve">of earnings, not simply the headline beat</w:t>
      </w:r>
    </w:p>
    <w:p>
      <w:pPr>
        <w:pStyle w:val="FirstParagraph"/>
      </w:pPr>
      <w:r>
        <w:t xml:space="preserve">LVS enters earnings with a compelling operational setup—particularly at Marina Bay Sands (“MBS”)—but with unusually high sensitivity to gaming hold, premium-customer mix, and Macao margin progression. The key question is whether the company can demonstrate that the strong 1Q26 performance was primarily structural rather than a function of volatile VIP volumes and favorable property-level mix.</w:t>
      </w:r>
    </w:p>
    <w:p>
      <w:pPr>
        <w:pStyle w:val="BodyText"/>
      </w:pPr>
      <w:r>
        <w:t xml:space="preserve">The consensus bar appears manageable: revenue is expected at</w:t>
      </w:r>
      <w:r>
        <w:t xml:space="preserve"> </w:t>
      </w:r>
      <m:oMath>
        <m:r>
          <m:t>3.32</m:t>
        </m:r>
        <m:r>
          <m:t>b</m:t>
        </m:r>
        <m:r>
          <m:t>i</m:t>
        </m:r>
        <m:r>
          <m:t>l</m:t>
        </m:r>
        <m:r>
          <m:t>l</m:t>
        </m:r>
        <m:r>
          <m:t>i</m:t>
        </m:r>
        <m:r>
          <m:t>o</m:t>
        </m:r>
        <m:r>
          <m:t>n</m:t>
        </m:r>
        <m:r>
          <m:rPr>
            <m:sty m:val="p"/>
          </m:rPr>
          <m:t>*</m:t>
        </m:r>
        <m:r>
          <m:rPr>
            <m:sty m:val="p"/>
          </m:rPr>
          <m:t>*</m:t>
        </m:r>
        <m:r>
          <m:t>a</m:t>
        </m:r>
        <m:r>
          <m:t>n</m:t>
        </m:r>
        <m:r>
          <m:t>d</m:t>
        </m:r>
        <m:r>
          <m:t>E</m:t>
        </m:r>
        <m:r>
          <m:t>P</m:t>
        </m:r>
        <m:r>
          <m:t>S</m:t>
        </m:r>
        <m:r>
          <m:t>a</m:t>
        </m:r>
        <m:r>
          <m:t>t</m:t>
        </m:r>
        <m:r>
          <m:rPr>
            <m:sty m:val="p"/>
          </m:rPr>
          <m:t>*</m:t>
        </m:r>
        <m:r>
          <m:rPr>
            <m:sty m:val="p"/>
          </m:rPr>
          <m:t>*</m:t>
        </m:r>
      </m:oMath>
      <w:r>
        <w:rPr>
          <w:b/>
          <w:bCs/>
        </w:rPr>
        <w:t xml:space="preserve">0.77</w:t>
      </w:r>
      <w:r>
        <w:t xml:space="preserve">. However, the market is likely to focus more heavily on property EBITDA, hold-adjusted results, Macao market-share trends, and capital-return capacity than on EPS alone. (</w:t>
      </w:r>
      <w:hyperlink r:id="rId10">
        <w:r>
          <w:rPr>
            <w:rStyle w:val="Hyperlink"/>
          </w:rPr>
          <w:t xml:space="preserve">marketbeat.com</w:t>
        </w:r>
      </w:hyperlink>
      <w:r>
        <w:t xml:space="preserve">)</w:t>
      </w:r>
    </w:p>
    <w:bookmarkEnd w:id="11"/>
    <w:bookmarkStart w:id="12" w:name="what-investors-are-looking-for"/>
    <w:p>
      <w:pPr>
        <w:pStyle w:val="Heading2"/>
      </w:pPr>
      <w:r>
        <w:t xml:space="preserve">What investors are looking for</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Key item</w:t>
            </w:r>
          </w:p>
        </w:tc>
        <w:tc>
          <w:tcPr/>
          <w:p>
            <w:pPr>
              <w:pStyle w:val="Compact"/>
            </w:pPr>
            <w:r>
              <w:t xml:space="preserve">Why it matters</w:t>
            </w:r>
          </w:p>
        </w:tc>
        <w:tc>
          <w:tcPr/>
          <w:p>
            <w:pPr>
              <w:pStyle w:val="Compact"/>
            </w:pPr>
            <w:r>
              <w:t xml:space="preserve">What would be constructive</w:t>
            </w:r>
          </w:p>
        </w:tc>
      </w:tr>
      <w:tr>
        <w:tc>
          <w:tcPr/>
          <w:p>
            <w:pPr>
              <w:pStyle w:val="Compact"/>
            </w:pPr>
            <w:r>
              <w:rPr>
                <w:b/>
                <w:bCs/>
              </w:rPr>
              <w:t xml:space="preserve">Marina Bay Sands EBITDA and hold</w:t>
            </w:r>
          </w:p>
        </w:tc>
        <w:tc>
          <w:tcPr/>
          <w:p>
            <w:pPr>
              <w:pStyle w:val="Compact"/>
            </w:pPr>
            <w:r>
              <w:t xml:space="preserve">MBS is LVS’s highest-margin asset and the largest swing factor in consolidated results.</w:t>
            </w:r>
          </w:p>
        </w:tc>
        <w:tc>
          <w:tcPr/>
          <w:p>
            <w:pPr>
              <w:pStyle w:val="Compact"/>
            </w:pPr>
            <w:r>
              <w:t xml:space="preserve">Strong underlying mass/slots, hotel and retail trends; results that remain robust after adjusting for VIP hold.</w:t>
            </w:r>
          </w:p>
        </w:tc>
      </w:tr>
      <w:tr>
        <w:tc>
          <w:tcPr/>
          <w:p>
            <w:pPr>
              <w:pStyle w:val="Compact"/>
            </w:pPr>
            <w:r>
              <w:rPr>
                <w:b/>
                <w:bCs/>
              </w:rPr>
              <w:t xml:space="preserve">Macao EBITDA and market share</w:t>
            </w:r>
          </w:p>
        </w:tc>
        <w:tc>
          <w:tcPr/>
          <w:p>
            <w:pPr>
              <w:pStyle w:val="Compact"/>
            </w:pPr>
            <w:r>
              <w:t xml:space="preserve">The core rerating debate is whether LVS can translate its product investments and reinvestment strategy into durable share gains.</w:t>
            </w:r>
          </w:p>
        </w:tc>
        <w:tc>
          <w:tcPr/>
          <w:p>
            <w:pPr>
              <w:pStyle w:val="Compact"/>
            </w:pPr>
            <w:r>
              <w:t xml:space="preserve">EBITDA near or above a normalized ~$600M quarterly run rate, improved revenue share, and no material deterioration in reinvestment.</w:t>
            </w:r>
          </w:p>
        </w:tc>
      </w:tr>
      <w:tr>
        <w:tc>
          <w:tcPr/>
          <w:p>
            <w:pPr>
              <w:pStyle w:val="Compact"/>
            </w:pPr>
            <w:r>
              <w:rPr>
                <w:b/>
                <w:bCs/>
              </w:rPr>
              <w:t xml:space="preserve">Macao margin trajectory</w:t>
            </w:r>
          </w:p>
        </w:tc>
        <w:tc>
          <w:tcPr/>
          <w:p>
            <w:pPr>
              <w:pStyle w:val="Compact"/>
            </w:pPr>
            <w:r>
              <w:t xml:space="preserve">Management is investing in staffing, service and product upgrades, which can suppress margins before revenue leverage arrives.</w:t>
            </w:r>
          </w:p>
        </w:tc>
        <w:tc>
          <w:tcPr/>
          <w:p>
            <w:pPr>
              <w:pStyle w:val="Compact"/>
            </w:pPr>
            <w:r>
              <w:t xml:space="preserve">Evidence that revenue growth is beginning to absorb these costs, or a clearer path back toward higher normalized margins.</w:t>
            </w:r>
          </w:p>
        </w:tc>
      </w:tr>
      <w:tr>
        <w:tc>
          <w:tcPr/>
          <w:p>
            <w:pPr>
              <w:pStyle w:val="Compact"/>
            </w:pPr>
            <w:r>
              <w:rPr>
                <w:b/>
                <w:bCs/>
              </w:rPr>
              <w:t xml:space="preserve">Capital returns</w:t>
            </w:r>
          </w:p>
        </w:tc>
        <w:tc>
          <w:tcPr/>
          <w:p>
            <w:pPr>
              <w:pStyle w:val="Compact"/>
            </w:pPr>
            <w:r>
              <w:t xml:space="preserve">Buybacks have been a material per-share earnings driver; investors will assess whether the pace remains sustainable alongside development spending.</w:t>
            </w:r>
          </w:p>
        </w:tc>
        <w:tc>
          <w:tcPr/>
          <w:p>
            <w:pPr>
              <w:pStyle w:val="Compact"/>
            </w:pPr>
            <w:r>
              <w:t xml:space="preserve">Continued meaningful repurchases, maintenance of the $0.30 quarterly dividend, and reassuring liquidity/capex commentary.</w:t>
            </w:r>
          </w:p>
        </w:tc>
      </w:tr>
      <w:tr>
        <w:tc>
          <w:tcPr/>
          <w:p>
            <w:pPr>
              <w:pStyle w:val="Compact"/>
            </w:pPr>
            <w:r>
              <w:rPr>
                <w:b/>
                <w:bCs/>
              </w:rPr>
              <w:t xml:space="preserve">Venetian renovation / Singapore expansion</w:t>
            </w:r>
          </w:p>
        </w:tc>
        <w:tc>
          <w:tcPr/>
          <w:p>
            <w:pPr>
              <w:pStyle w:val="Compact"/>
            </w:pPr>
            <w:r>
              <w:t xml:space="preserve">These projects underpin the longer-term growth case but also raise capital-intensity and execution questions.</w:t>
            </w:r>
          </w:p>
        </w:tc>
        <w:tc>
          <w:tcPr/>
          <w:p>
            <w:pPr>
              <w:pStyle w:val="Compact"/>
            </w:pPr>
            <w:r>
              <w:t xml:space="preserve">Confirmation of limited operational disruption in Macao and disciplined returns/timing on Singapore’s expansion.</w:t>
            </w:r>
          </w:p>
        </w:tc>
      </w:tr>
    </w:tbl>
    <w:bookmarkEnd w:id="12"/>
    <w:bookmarkStart w:id="15" w:name="Xabb1d1ff31271c7722c1179efec0a6ef988b326"/>
    <w:p>
      <w:pPr>
        <w:pStyle w:val="Heading2"/>
      </w:pPr>
      <w:r>
        <w:t xml:space="preserve">The setup: strong 1Q, but a difficult comparison framework</w:t>
      </w:r>
    </w:p>
    <w:p>
      <w:pPr>
        <w:pStyle w:val="FirstParagraph"/>
      </w:pPr>
      <w:r>
        <w:t xml:space="preserve">LVS’s 1Q26 was excellent on the surface: net revenue rose</w:t>
      </w:r>
      <w:r>
        <w:t xml:space="preserve"> </w:t>
      </w:r>
      <w:r>
        <w:rPr>
          <w:b/>
          <w:bCs/>
        </w:rPr>
        <w:t xml:space="preserve">25.3%</w:t>
      </w:r>
      <w:r>
        <w:t xml:space="preserve"> </w:t>
      </w:r>
      <w:r>
        <w:t xml:space="preserve">year over year to</w:t>
      </w:r>
      <w:r>
        <w:t xml:space="preserve"> </w:t>
      </w:r>
      <m:oMath>
        <m:r>
          <m:t>3.59</m:t>
        </m:r>
        <m:r>
          <m:t>b</m:t>
        </m:r>
        <m:r>
          <m:t>i</m:t>
        </m:r>
        <m:r>
          <m:t>l</m:t>
        </m:r>
        <m:r>
          <m:t>l</m:t>
        </m:r>
        <m:r>
          <m:t>i</m:t>
        </m:r>
        <m:r>
          <m:t>o</m:t>
        </m:r>
        <m:r>
          <m:t>n</m:t>
        </m:r>
        <m:r>
          <m:rPr>
            <m:sty m:val="p"/>
          </m:rPr>
          <m:t>*</m:t>
        </m:r>
        <m:r>
          <m:rPr>
            <m:sty m:val="p"/>
          </m:rPr>
          <m:t>*</m:t>
        </m:r>
        <m:r>
          <m:rPr>
            <m:sty m:val="p"/>
          </m:rPr>
          <m:t>,</m:t>
        </m:r>
        <m:r>
          <m:t>w</m:t>
        </m:r>
        <m:r>
          <m:t>h</m:t>
        </m:r>
        <m:r>
          <m:t>i</m:t>
        </m:r>
        <m:r>
          <m:t>l</m:t>
        </m:r>
        <m:r>
          <m:t>e</m:t>
        </m:r>
        <m:r>
          <m:t>c</m:t>
        </m:r>
        <m:r>
          <m:t>o</m:t>
        </m:r>
        <m:r>
          <m:t>n</m:t>
        </m:r>
        <m:r>
          <m:t>s</m:t>
        </m:r>
        <m:r>
          <m:t>o</m:t>
        </m:r>
        <m:r>
          <m:t>l</m:t>
        </m:r>
        <m:r>
          <m:t>i</m:t>
        </m:r>
        <m:r>
          <m:t>d</m:t>
        </m:r>
        <m:r>
          <m:t>a</m:t>
        </m:r>
        <m:r>
          <m:t>t</m:t>
        </m:r>
        <m:r>
          <m:t>e</m:t>
        </m:r>
        <m:r>
          <m:t>d</m:t>
        </m:r>
        <m:r>
          <m:t>a</m:t>
        </m:r>
        <m:r>
          <m:t>d</m:t>
        </m:r>
        <m:r>
          <m:t>j</m:t>
        </m:r>
        <m:r>
          <m:t>u</m:t>
        </m:r>
        <m:r>
          <m:t>s</m:t>
        </m:r>
        <m:r>
          <m:t>t</m:t>
        </m:r>
        <m:r>
          <m:t>e</m:t>
        </m:r>
        <m:r>
          <m:t>d</m:t>
        </m:r>
        <m:r>
          <m:t>p</m:t>
        </m:r>
        <m:r>
          <m:t>r</m:t>
        </m:r>
        <m:r>
          <m:t>o</m:t>
        </m:r>
        <m:r>
          <m:t>p</m:t>
        </m:r>
        <m:r>
          <m:t>e</m:t>
        </m:r>
        <m:r>
          <m:t>r</m:t>
        </m:r>
        <m:r>
          <m:t>t</m:t>
        </m:r>
        <m:r>
          <m:t>y</m:t>
        </m:r>
        <m:r>
          <m:t>E</m:t>
        </m:r>
        <m:r>
          <m:t>B</m:t>
        </m:r>
        <m:r>
          <m:t>I</m:t>
        </m:r>
        <m:r>
          <m:t>T</m:t>
        </m:r>
        <m:r>
          <m:t>D</m:t>
        </m:r>
        <m:r>
          <m:t>A</m:t>
        </m:r>
        <m:r>
          <m:t>i</m:t>
        </m:r>
        <m:r>
          <m:t>n</m:t>
        </m:r>
        <m:r>
          <m:t>c</m:t>
        </m:r>
        <m:r>
          <m:t>r</m:t>
        </m:r>
        <m:r>
          <m:t>e</m:t>
        </m:r>
        <m:r>
          <m:t>a</m:t>
        </m:r>
        <m:r>
          <m:t>s</m:t>
        </m:r>
        <m:r>
          <m:t>e</m:t>
        </m:r>
        <m:r>
          <m:t>d</m:t>
        </m:r>
        <m:r>
          <m:rPr>
            <m:sty m:val="p"/>
          </m:rPr>
          <m:t>*</m:t>
        </m:r>
        <m:r>
          <m:rPr>
            <m:sty m:val="p"/>
          </m:rPr>
          <m:t>*</m:t>
        </m:r>
        <m:r>
          <m:t>24.6</m:t>
        </m:r>
      </m:oMath>
      <w:r>
        <w:rPr>
          <w:b/>
          <w:bCs/>
        </w:rPr>
        <w:t xml:space="preserve">1.42 billion</w:t>
      </w:r>
      <w:r>
        <w:t xml:space="preserve">. MBS delivered</w:t>
      </w:r>
      <w:r>
        <w:t xml:space="preserve"> </w:t>
      </w:r>
      <m:oMath>
        <m:r>
          <m:t>788</m:t>
        </m:r>
        <m:r>
          <m:t>m</m:t>
        </m:r>
        <m:r>
          <m:t>i</m:t>
        </m:r>
        <m:r>
          <m:t>l</m:t>
        </m:r>
        <m:r>
          <m:t>l</m:t>
        </m:r>
        <m:r>
          <m:t>i</m:t>
        </m:r>
        <m:r>
          <m:t>o</m:t>
        </m:r>
        <m:r>
          <m:t>n</m:t>
        </m:r>
        <m:r>
          <m:rPr>
            <m:sty m:val="p"/>
          </m:rPr>
          <m:t>*</m:t>
        </m:r>
        <m:r>
          <m:rPr>
            <m:sty m:val="p"/>
          </m:rPr>
          <m:t>*</m:t>
        </m:r>
        <m:r>
          <m:t>o</m:t>
        </m:r>
        <m:r>
          <m:t>f</m:t>
        </m:r>
        <m:r>
          <m:t>E</m:t>
        </m:r>
        <m:r>
          <m:t>B</m:t>
        </m:r>
        <m:r>
          <m:t>I</m:t>
        </m:r>
        <m:r>
          <m:t>T</m:t>
        </m:r>
        <m:r>
          <m:t>D</m:t>
        </m:r>
        <m:r>
          <m:t>A</m:t>
        </m:r>
        <m:r>
          <m:t>a</m:t>
        </m:r>
        <m:r>
          <m:t>n</m:t>
        </m:r>
        <m:r>
          <m:t>d</m:t>
        </m:r>
        <m:r>
          <m:t>M</m:t>
        </m:r>
        <m:r>
          <m:t>a</m:t>
        </m:r>
        <m:r>
          <m:t>c</m:t>
        </m:r>
        <m:r>
          <m:t>a</m:t>
        </m:r>
        <m:r>
          <m:t>o</m:t>
        </m:r>
        <m:r>
          <m:t>p</m:t>
        </m:r>
        <m:r>
          <m:t>r</m:t>
        </m:r>
        <m:r>
          <m:t>o</m:t>
        </m:r>
        <m:r>
          <m:t>d</m:t>
        </m:r>
        <m:r>
          <m:t>u</m:t>
        </m:r>
        <m:r>
          <m:t>c</m:t>
        </m:r>
        <m:r>
          <m:t>e</m:t>
        </m:r>
        <m:r>
          <m:t>d</m:t>
        </m:r>
        <m:r>
          <m:rPr>
            <m:sty m:val="p"/>
          </m:rPr>
          <m:t>*</m:t>
        </m:r>
        <m:r>
          <m:rPr>
            <m:sty m:val="p"/>
          </m:rPr>
          <m:t>*</m:t>
        </m:r>
      </m:oMath>
      <w:r>
        <w:rPr>
          <w:b/>
          <w:bCs/>
        </w:rPr>
        <w:t xml:space="preserve">633 million</w:t>
      </w:r>
      <w:r>
        <w:t xml:space="preserve">. (</w:t>
      </w:r>
      <w:hyperlink r:id="rId13">
        <w:r>
          <w:rPr>
            <w:rStyle w:val="Hyperlink"/>
          </w:rPr>
          <w:t xml:space="preserve">prnewswire.com</w:t>
        </w:r>
      </w:hyperlink>
      <w:r>
        <w:t xml:space="preserve">)</w:t>
      </w:r>
    </w:p>
    <w:p>
      <w:pPr>
        <w:pStyle w:val="BodyText"/>
      </w:pPr>
      <w:r>
        <w:t xml:space="preserve">But 2Q is seasonally softer in Macao, and reported comparisons can be distorted by gaming hold. In 2Q25, LVS generated</w:t>
      </w:r>
      <w:r>
        <w:t xml:space="preserve"> </w:t>
      </w:r>
      <m:oMath>
        <m:r>
          <m:t>1.33</m:t>
        </m:r>
        <m:r>
          <m:t>b</m:t>
        </m:r>
        <m:r>
          <m:t>i</m:t>
        </m:r>
        <m:r>
          <m:t>l</m:t>
        </m:r>
        <m:r>
          <m:t>l</m:t>
        </m:r>
        <m:r>
          <m:t>i</m:t>
        </m:r>
        <m:r>
          <m:t>o</m:t>
        </m:r>
        <m:r>
          <m:t>n</m:t>
        </m:r>
        <m:r>
          <m:rPr>
            <m:sty m:val="p"/>
          </m:rPr>
          <m:t>*</m:t>
        </m:r>
        <m:r>
          <m:rPr>
            <m:sty m:val="p"/>
          </m:rPr>
          <m:t>*</m:t>
        </m:r>
        <m:r>
          <m:t>o</m:t>
        </m:r>
        <m:r>
          <m:t>f</m:t>
        </m:r>
        <m:r>
          <m:t>c</m:t>
        </m:r>
        <m:r>
          <m:t>o</m:t>
        </m:r>
        <m:r>
          <m:t>n</m:t>
        </m:r>
        <m:r>
          <m:t>s</m:t>
        </m:r>
        <m:r>
          <m:t>o</m:t>
        </m:r>
        <m:r>
          <m:t>l</m:t>
        </m:r>
        <m:r>
          <m:t>i</m:t>
        </m:r>
        <m:r>
          <m:t>d</m:t>
        </m:r>
        <m:r>
          <m:t>a</m:t>
        </m:r>
        <m:r>
          <m:t>t</m:t>
        </m:r>
        <m:r>
          <m:t>e</m:t>
        </m:r>
        <m:r>
          <m:t>d</m:t>
        </m:r>
        <m:r>
          <m:t>a</m:t>
        </m:r>
        <m:r>
          <m:t>d</m:t>
        </m:r>
        <m:r>
          <m:t>j</m:t>
        </m:r>
        <m:r>
          <m:t>u</m:t>
        </m:r>
        <m:r>
          <m:t>s</m:t>
        </m:r>
        <m:r>
          <m:t>t</m:t>
        </m:r>
        <m:r>
          <m:t>e</m:t>
        </m:r>
        <m:r>
          <m:t>d</m:t>
        </m:r>
        <m:r>
          <m:t>p</m:t>
        </m:r>
        <m:r>
          <m:t>r</m:t>
        </m:r>
        <m:r>
          <m:t>o</m:t>
        </m:r>
        <m:r>
          <m:t>p</m:t>
        </m:r>
        <m:r>
          <m:t>e</m:t>
        </m:r>
        <m:r>
          <m:t>r</m:t>
        </m:r>
        <m:r>
          <m:t>t</m:t>
        </m:r>
        <m:r>
          <m:t>y</m:t>
        </m:r>
        <m:r>
          <m:t>E</m:t>
        </m:r>
        <m:r>
          <m:t>B</m:t>
        </m:r>
        <m:r>
          <m:t>I</m:t>
        </m:r>
        <m:r>
          <m:t>T</m:t>
        </m:r>
        <m:r>
          <m:t>D</m:t>
        </m:r>
        <m:r>
          <m:t>A</m:t>
        </m:r>
        <m:r>
          <m:rPr>
            <m:sty m:val="p"/>
          </m:rPr>
          <m:t>,</m:t>
        </m:r>
        <m:r>
          <m:t>i</m:t>
        </m:r>
        <m:r>
          <m:t>n</m:t>
        </m:r>
        <m:r>
          <m:t>c</m:t>
        </m:r>
        <m:r>
          <m:t>l</m:t>
        </m:r>
        <m:r>
          <m:t>u</m:t>
        </m:r>
        <m:r>
          <m:t>d</m:t>
        </m:r>
        <m:r>
          <m:t>i</m:t>
        </m:r>
        <m:r>
          <m:t>n</m:t>
        </m:r>
        <m:r>
          <m:t>g</m:t>
        </m:r>
        <m:r>
          <m:rPr>
            <m:sty m:val="p"/>
          </m:rPr>
          <m:t>*</m:t>
        </m:r>
        <m:r>
          <m:rPr>
            <m:sty m:val="p"/>
          </m:rPr>
          <m:t>*</m:t>
        </m:r>
      </m:oMath>
      <w:r>
        <w:rPr>
          <w:b/>
          <w:bCs/>
        </w:rPr>
        <w:t xml:space="preserve">107 million</w:t>
      </w:r>
      <w:r>
        <w:t xml:space="preserve"> </w:t>
      </w:r>
      <w:r>
        <w:t xml:space="preserve">of favorable rolling-chip hold at MBS and</w:t>
      </w:r>
      <w:r>
        <w:t xml:space="preserve"> </w:t>
      </w:r>
      <m:oMath>
        <m:r>
          <m:t>7</m:t>
        </m:r>
        <m:r>
          <m:t>m</m:t>
        </m:r>
        <m:r>
          <m:t>i</m:t>
        </m:r>
        <m:r>
          <m:t>l</m:t>
        </m:r>
        <m:r>
          <m:t>l</m:t>
        </m:r>
        <m:r>
          <m:t>i</m:t>
        </m:r>
        <m:r>
          <m:t>o</m:t>
        </m:r>
        <m:r>
          <m:t>n</m:t>
        </m:r>
        <m:r>
          <m:rPr>
            <m:sty m:val="p"/>
          </m:rPr>
          <m:t>*</m:t>
        </m:r>
        <m:r>
          <m:rPr>
            <m:sty m:val="p"/>
          </m:rPr>
          <m:t>*</m:t>
        </m:r>
        <m:r>
          <m:t>i</m:t>
        </m:r>
        <m:r>
          <m:t>n</m:t>
        </m:r>
        <m:r>
          <m:t>M</m:t>
        </m:r>
        <m:r>
          <m:t>a</m:t>
        </m:r>
        <m:r>
          <m:t>c</m:t>
        </m:r>
        <m:r>
          <m:t>a</m:t>
        </m:r>
        <m:r>
          <m:t>o</m:t>
        </m:r>
        <m:r>
          <m:rPr>
            <m:sty m:val="p"/>
          </m:rPr>
          <m:t>.</m:t>
        </m:r>
        <m:r>
          <m:t>I</m:t>
        </m:r>
        <m:r>
          <m:t>n</m:t>
        </m:r>
        <m:r>
          <m:t>o</m:t>
        </m:r>
        <m:r>
          <m:t>t</m:t>
        </m:r>
        <m:r>
          <m:t>h</m:t>
        </m:r>
        <m:r>
          <m:t>e</m:t>
        </m:r>
        <m:r>
          <m:t>r</m:t>
        </m:r>
        <m:r>
          <m:t>w</m:t>
        </m:r>
        <m:r>
          <m:t>o</m:t>
        </m:r>
        <m:r>
          <m:t>r</m:t>
        </m:r>
        <m:r>
          <m:t>d</m:t>
        </m:r>
        <m:r>
          <m:t>s</m:t>
        </m:r>
        <m:r>
          <m:rPr>
            <m:sty m:val="p"/>
          </m:rPr>
          <m:t>,</m:t>
        </m:r>
        <m:r>
          <m:t>t</m:t>
        </m:r>
        <m:r>
          <m:t>h</m:t>
        </m:r>
        <m:r>
          <m:t>e</m:t>
        </m:r>
        <m:r>
          <m:t>y</m:t>
        </m:r>
        <m:r>
          <m:t>e</m:t>
        </m:r>
        <m:r>
          <m:t>a</m:t>
        </m:r>
        <m:r>
          <m:t>r</m:t>
        </m:r>
        <m:r>
          <m:rPr>
            <m:sty m:val="p"/>
          </m:rPr>
          <m:t>−</m:t>
        </m:r>
        <m:r>
          <m:t>a</m:t>
        </m:r>
        <m:r>
          <m:t>g</m:t>
        </m:r>
        <m:r>
          <m:t>o</m:t>
        </m:r>
        <m:r>
          <m:t>r</m:t>
        </m:r>
        <m:r>
          <m:t>e</m:t>
        </m:r>
        <m:r>
          <m:t>p</m:t>
        </m:r>
        <m:r>
          <m:t>o</m:t>
        </m:r>
        <m:r>
          <m:t>r</m:t>
        </m:r>
        <m:r>
          <m:t>t</m:t>
        </m:r>
        <m:r>
          <m:t>e</m:t>
        </m:r>
        <m:r>
          <m:t>d</m:t>
        </m:r>
        <m:r>
          <m:t>E</m:t>
        </m:r>
        <m:r>
          <m:t>B</m:t>
        </m:r>
        <m:r>
          <m:t>I</m:t>
        </m:r>
        <m:r>
          <m:t>T</m:t>
        </m:r>
        <m:r>
          <m:t>D</m:t>
        </m:r>
        <m:r>
          <m:t>A</m:t>
        </m:r>
        <m:r>
          <m:t>b</m:t>
        </m:r>
        <m:r>
          <m:t>e</m:t>
        </m:r>
        <m:r>
          <m:t>n</m:t>
        </m:r>
        <m:r>
          <m:t>c</m:t>
        </m:r>
        <m:r>
          <m:t>h</m:t>
        </m:r>
        <m:r>
          <m:t>m</m:t>
        </m:r>
        <m:r>
          <m:t>a</m:t>
        </m:r>
        <m:r>
          <m:t>r</m:t>
        </m:r>
        <m:r>
          <m:t>k</m:t>
        </m:r>
        <m:r>
          <m:t>e</m:t>
        </m:r>
        <m:r>
          <m:t>m</m:t>
        </m:r>
        <m:r>
          <m:t>b</m:t>
        </m:r>
        <m:r>
          <m:t>e</m:t>
        </m:r>
        <m:r>
          <m:t>d</m:t>
        </m:r>
        <m:r>
          <m:t>s</m:t>
        </m:r>
        <m:r>
          <m:t>r</m:t>
        </m:r>
        <m:r>
          <m:t>o</m:t>
        </m:r>
        <m:r>
          <m:t>u</m:t>
        </m:r>
        <m:r>
          <m:t>g</m:t>
        </m:r>
        <m:r>
          <m:t>h</m:t>
        </m:r>
        <m:r>
          <m:t>l</m:t>
        </m:r>
        <m:r>
          <m:t>y</m:t>
        </m:r>
        <m:r>
          <m:rPr>
            <m:sty m:val="p"/>
          </m:rPr>
          <m:t>*</m:t>
        </m:r>
        <m:r>
          <m:rPr>
            <m:sty m:val="p"/>
          </m:rPr>
          <m:t>*</m:t>
        </m:r>
      </m:oMath>
      <w:r>
        <w:rPr>
          <w:b/>
          <w:bCs/>
        </w:rPr>
        <w:t xml:space="preserve">114 million</w:t>
      </w:r>
      <w:r>
        <w:t xml:space="preserve"> </w:t>
      </w:r>
      <w:r>
        <w:t xml:space="preserve">of hold-related benefit. (</w:t>
      </w:r>
      <w:hyperlink r:id="rId14">
        <w:r>
          <w:rPr>
            <w:rStyle w:val="Hyperlink"/>
          </w:rPr>
          <w:t xml:space="preserve">prnewswire.com</w:t>
        </w:r>
      </w:hyperlink>
      <w:r>
        <w:t xml:space="preserve">)</w:t>
      </w:r>
    </w:p>
    <w:p>
      <w:pPr>
        <w:pStyle w:val="BodyText"/>
      </w:pPr>
      <w:r>
        <w:t xml:space="preserve">That makes the relevant test for 2Q26 less about exceeding the reported 2Q25 EBITDA number and more about:</w:t>
      </w:r>
    </w:p>
    <w:p>
      <w:pPr>
        <w:pStyle w:val="Compact"/>
        <w:numPr>
          <w:ilvl w:val="0"/>
          <w:numId w:val="1001"/>
        </w:numPr>
      </w:pPr>
      <w:r>
        <w:rPr>
          <w:b/>
          <w:bCs/>
        </w:rPr>
        <w:t xml:space="preserve">Whether MBS can sustain elevated normalized earnings</w:t>
      </w:r>
      <w:r>
        <w:t xml:space="preserve">, and</w:t>
      </w:r>
    </w:p>
    <w:p>
      <w:pPr>
        <w:pStyle w:val="Compact"/>
        <w:numPr>
          <w:ilvl w:val="0"/>
          <w:numId w:val="1001"/>
        </w:numPr>
      </w:pPr>
      <w:r>
        <w:rPr>
          <w:b/>
          <w:bCs/>
        </w:rPr>
        <w:t xml:space="preserve">Whether Macao can remain around or improve upon its recent hold-adjusted EBITDA run rate despite incremental service investment.</w:t>
      </w:r>
    </w:p>
    <w:bookmarkEnd w:id="15"/>
    <w:bookmarkStart w:id="16" w:name="Xc959cdc5080f41aea4538d26573378aaf935694"/>
    <w:p>
      <w:pPr>
        <w:pStyle w:val="Heading2"/>
      </w:pPr>
      <w:r>
        <w:t xml:space="preserve">MBS: exceptional asset, but volatility matters</w:t>
      </w:r>
    </w:p>
    <w:p>
      <w:pPr>
        <w:pStyle w:val="FirstParagraph"/>
      </w:pPr>
      <w:r>
        <w:t xml:space="preserve">MBS remains the central earnings driver. In 1Q26, it generated</w:t>
      </w:r>
      <w:r>
        <w:t xml:space="preserve"> </w:t>
      </w:r>
      <w:r>
        <w:rPr>
          <w:b/>
          <w:bCs/>
        </w:rPr>
        <w:t xml:space="preserve">$788 million</w:t>
      </w:r>
      <w:r>
        <w:t xml:space="preserve"> </w:t>
      </w:r>
      <w:r>
        <w:t xml:space="preserve">of EBITDA at a</w:t>
      </w:r>
      <w:r>
        <w:t xml:space="preserve"> </w:t>
      </w:r>
      <w:r>
        <w:rPr>
          <w:b/>
          <w:bCs/>
        </w:rPr>
        <w:t xml:space="preserve">53% margin</w:t>
      </w:r>
      <w:r>
        <w:t xml:space="preserve">, with both casino and non-gaming operations benefiting from the upgraded suite offering, premium visitation, hotel pricing and luxury retail. Management has emphasized that its core profit engine is mass gaming and slots, even as VIP play can drive quarter-to-quarter volatility. (</w:t>
      </w:r>
      <w:hyperlink r:id="rId13">
        <w:r>
          <w:rPr>
            <w:rStyle w:val="Hyperlink"/>
          </w:rPr>
          <w:t xml:space="preserve">prnewswire.com</w:t>
        </w:r>
      </w:hyperlink>
      <w:r>
        <w:t xml:space="preserve">)</w:t>
      </w:r>
    </w:p>
    <w:p>
      <w:pPr>
        <w:pStyle w:val="BodyText"/>
      </w:pPr>
      <w:r>
        <w:t xml:space="preserve">For 2Q26, investors should separate:</w:t>
      </w:r>
    </w:p>
    <w:p>
      <w:pPr>
        <w:pStyle w:val="Compact"/>
        <w:numPr>
          <w:ilvl w:val="0"/>
          <w:numId w:val="1002"/>
        </w:numPr>
      </w:pPr>
      <w:r>
        <w:rPr>
          <w:b/>
          <w:bCs/>
        </w:rPr>
        <w:t xml:space="preserve">VIP rolling-chip volume and hold</w:t>
      </w:r>
      <w:r>
        <w:t xml:space="preserve"> </w:t>
      </w:r>
      <w:r>
        <w:t xml:space="preserve">— potentially very volatile;</w:t>
      </w:r>
    </w:p>
    <w:p>
      <w:pPr>
        <w:pStyle w:val="Compact"/>
        <w:numPr>
          <w:ilvl w:val="0"/>
          <w:numId w:val="1002"/>
        </w:numPr>
      </w:pPr>
      <w:r>
        <w:rPr>
          <w:b/>
          <w:bCs/>
        </w:rPr>
        <w:t xml:space="preserve">Mass-table and slot win</w:t>
      </w:r>
      <w:r>
        <w:t xml:space="preserve"> </w:t>
      </w:r>
      <w:r>
        <w:t xml:space="preserve">— the cleaner signal of underlying demand;</w:t>
      </w:r>
    </w:p>
    <w:p>
      <w:pPr>
        <w:pStyle w:val="Compact"/>
        <w:numPr>
          <w:ilvl w:val="0"/>
          <w:numId w:val="1002"/>
        </w:numPr>
      </w:pPr>
      <w:r>
        <w:rPr>
          <w:b/>
          <w:bCs/>
        </w:rPr>
        <w:t xml:space="preserve">ADR, occupancy and RevPAR</w:t>
      </w:r>
      <w:r>
        <w:t xml:space="preserve"> </w:t>
      </w:r>
      <w:r>
        <w:t xml:space="preserve">— indicators of continued pricing power;</w:t>
      </w:r>
    </w:p>
    <w:p>
      <w:pPr>
        <w:pStyle w:val="Compact"/>
        <w:numPr>
          <w:ilvl w:val="0"/>
          <w:numId w:val="1002"/>
        </w:numPr>
      </w:pPr>
      <w:r>
        <w:rPr>
          <w:b/>
          <w:bCs/>
        </w:rPr>
        <w:t xml:space="preserve">Retail-mall performance</w:t>
      </w:r>
      <w:r>
        <w:t xml:space="preserve"> </w:t>
      </w:r>
      <w:r>
        <w:t xml:space="preserve">— a useful read-through on high-value consumer spending;</w:t>
      </w:r>
    </w:p>
    <w:p>
      <w:pPr>
        <w:pStyle w:val="Compact"/>
        <w:numPr>
          <w:ilvl w:val="0"/>
          <w:numId w:val="1002"/>
        </w:numPr>
      </w:pPr>
      <w:r>
        <w:rPr>
          <w:b/>
          <w:bCs/>
        </w:rPr>
        <w:t xml:space="preserve">Forward commentary on the MBS expansion project</w:t>
      </w:r>
      <w:r>
        <w:t xml:space="preserve"> </w:t>
      </w:r>
      <w:r>
        <w:t xml:space="preserve">— especially expected spending cadence and return assumptions.</w:t>
      </w:r>
    </w:p>
    <w:p>
      <w:pPr>
        <w:pStyle w:val="FirstParagraph"/>
      </w:pPr>
      <w:r>
        <w:t xml:space="preserve">A strong MBS number supported by mass, slots, rooms and retail would be more valuable to the equity story than an EBITDA beat driven primarily by high VIP hold.</w:t>
      </w:r>
    </w:p>
    <w:bookmarkEnd w:id="16"/>
    <w:bookmarkStart w:id="18" w:name="X2b531ef9fc318851f394c00e4913666e9ca0821"/>
    <w:p>
      <w:pPr>
        <w:pStyle w:val="Heading2"/>
      </w:pPr>
      <w:r>
        <w:t xml:space="preserve">Macao: share gains are encouraging, but margins are the debate</w:t>
      </w:r>
    </w:p>
    <w:p>
      <w:pPr>
        <w:pStyle w:val="FirstParagraph"/>
      </w:pPr>
      <w:r>
        <w:t xml:space="preserve">Macao is increasingly the pivotal issue for LVS. Management’s stated long-term objective is to reach</w:t>
      </w:r>
      <w:r>
        <w:t xml:space="preserve"> </w:t>
      </w:r>
      <m:oMath>
        <m:r>
          <m:t>700</m:t>
        </m:r>
        <m:r>
          <m:t>m</m:t>
        </m:r>
        <m:r>
          <m:t>i</m:t>
        </m:r>
        <m:r>
          <m:t>l</m:t>
        </m:r>
        <m:r>
          <m:t>l</m:t>
        </m:r>
        <m:r>
          <m:t>i</m:t>
        </m:r>
        <m:r>
          <m:t>o</m:t>
        </m:r>
        <m:r>
          <m:t>n</m:t>
        </m:r>
        <m:r>
          <m:rPr>
            <m:sty m:val="p"/>
          </m:rPr>
          <m:t>−</m:t>
        </m:r>
        <m:r>
          <m:t>p</m:t>
        </m:r>
        <m:r>
          <m:t>l</m:t>
        </m:r>
        <m:r>
          <m:t>u</m:t>
        </m:r>
        <m:r>
          <m:t>s</m:t>
        </m:r>
        <m:r>
          <m:t>o</m:t>
        </m:r>
        <m:r>
          <m:t>f</m:t>
        </m:r>
        <m:r>
          <m:t>q</m:t>
        </m:r>
        <m:r>
          <m:t>u</m:t>
        </m:r>
        <m:r>
          <m:t>a</m:t>
        </m:r>
        <m:r>
          <m:t>r</m:t>
        </m:r>
        <m:r>
          <m:t>t</m:t>
        </m:r>
        <m:r>
          <m:t>e</m:t>
        </m:r>
        <m:r>
          <m:t>r</m:t>
        </m:r>
        <m:r>
          <m:t>l</m:t>
        </m:r>
        <m:r>
          <m:t>y</m:t>
        </m:r>
        <m:r>
          <m:t>M</m:t>
        </m:r>
        <m:r>
          <m:t>a</m:t>
        </m:r>
        <m:r>
          <m:t>c</m:t>
        </m:r>
        <m:r>
          <m:t>a</m:t>
        </m:r>
        <m:r>
          <m:t>o</m:t>
        </m:r>
        <m:r>
          <m:t>E</m:t>
        </m:r>
        <m:r>
          <m:t>B</m:t>
        </m:r>
        <m:r>
          <m:t>I</m:t>
        </m:r>
        <m:r>
          <m:t>T</m:t>
        </m:r>
        <m:r>
          <m:t>D</m:t>
        </m:r>
        <m:r>
          <m:t>A</m:t>
        </m:r>
        <m:r>
          <m:rPr>
            <m:sty m:val="p"/>
          </m:rPr>
          <m:t>*</m:t>
        </m:r>
        <m:r>
          <m:rPr>
            <m:sty m:val="p"/>
          </m:rPr>
          <m:t>*</m:t>
        </m:r>
        <m:r>
          <m:t>t</m:t>
        </m:r>
        <m:r>
          <m:t>h</m:t>
        </m:r>
        <m:r>
          <m:t>r</m:t>
        </m:r>
        <m:r>
          <m:t>o</m:t>
        </m:r>
        <m:r>
          <m:t>u</m:t>
        </m:r>
        <m:r>
          <m:t>g</m:t>
        </m:r>
        <m:r>
          <m:t>h</m:t>
        </m:r>
        <m:r>
          <m:t>a</m:t>
        </m:r>
        <m:r>
          <m:t>c</m:t>
        </m:r>
        <m:r>
          <m:t>o</m:t>
        </m:r>
        <m:r>
          <m:t>m</m:t>
        </m:r>
        <m:r>
          <m:t>b</m:t>
        </m:r>
        <m:r>
          <m:t>i</m:t>
        </m:r>
        <m:r>
          <m:t>n</m:t>
        </m:r>
        <m:r>
          <m:t>a</m:t>
        </m:r>
        <m:r>
          <m:t>t</m:t>
        </m:r>
        <m:r>
          <m:t>i</m:t>
        </m:r>
        <m:r>
          <m:t>o</m:t>
        </m:r>
        <m:r>
          <m:t>n</m:t>
        </m:r>
        <m:r>
          <m:t>o</m:t>
        </m:r>
        <m:r>
          <m:t>f</m:t>
        </m:r>
        <m:r>
          <m:t>m</m:t>
        </m:r>
        <m:r>
          <m:t>a</m:t>
        </m:r>
        <m:r>
          <m:t>r</m:t>
        </m:r>
        <m:r>
          <m:t>k</m:t>
        </m:r>
        <m:r>
          <m:t>e</m:t>
        </m:r>
        <m:r>
          <m:t>t</m:t>
        </m:r>
        <m:r>
          <m:t>g</m:t>
        </m:r>
        <m:r>
          <m:t>r</m:t>
        </m:r>
        <m:r>
          <m:t>o</m:t>
        </m:r>
        <m:r>
          <m:t>w</m:t>
        </m:r>
        <m:r>
          <m:t>t</m:t>
        </m:r>
        <m:r>
          <m:t>h</m:t>
        </m:r>
        <m:r>
          <m:rPr>
            <m:sty m:val="p"/>
          </m:rPr>
          <m:t>,</m:t>
        </m:r>
        <m:r>
          <m:t>p</m:t>
        </m:r>
        <m:r>
          <m:t>r</m:t>
        </m:r>
        <m:r>
          <m:t>e</m:t>
        </m:r>
        <m:r>
          <m:t>m</m:t>
        </m:r>
        <m:r>
          <m:t>i</m:t>
        </m:r>
        <m:r>
          <m:t>u</m:t>
        </m:r>
        <m:r>
          <m:t>m</m:t>
        </m:r>
        <m:r>
          <m:t>p</m:t>
        </m:r>
        <m:r>
          <m:t>o</m:t>
        </m:r>
        <m:r>
          <m:t>s</m:t>
        </m:r>
        <m:r>
          <m:t>i</m:t>
        </m:r>
        <m:r>
          <m:t>t</m:t>
        </m:r>
        <m:r>
          <m:t>i</m:t>
        </m:r>
        <m:r>
          <m:t>o</m:t>
        </m:r>
        <m:r>
          <m:t>n</m:t>
        </m:r>
        <m:r>
          <m:t>i</m:t>
        </m:r>
        <m:r>
          <m:t>n</m:t>
        </m:r>
        <m:r>
          <m:t>g</m:t>
        </m:r>
        <m:r>
          <m:rPr>
            <m:sty m:val="p"/>
          </m:rPr>
          <m:t>,</m:t>
        </m:r>
        <m:r>
          <m:t>b</m:t>
        </m:r>
        <m:r>
          <m:t>e</m:t>
        </m:r>
        <m:r>
          <m:t>t</m:t>
        </m:r>
        <m:r>
          <m:t>t</m:t>
        </m:r>
        <m:r>
          <m:t>e</m:t>
        </m:r>
        <m:r>
          <m:t>r</m:t>
        </m:r>
        <m:r>
          <m:t>s</m:t>
        </m:r>
        <m:r>
          <m:t>e</m:t>
        </m:r>
        <m:r>
          <m:t>r</m:t>
        </m:r>
        <m:r>
          <m:t>v</m:t>
        </m:r>
        <m:r>
          <m:t>i</m:t>
        </m:r>
        <m:r>
          <m:t>c</m:t>
        </m:r>
        <m:r>
          <m:t>e</m:t>
        </m:r>
        <m:r>
          <m:rPr>
            <m:sty m:val="p"/>
          </m:rPr>
          <m:t>,</m:t>
        </m:r>
        <m:r>
          <m:t>s</m:t>
        </m:r>
        <m:r>
          <m:t>t</m:t>
        </m:r>
        <m:r>
          <m:t>r</m:t>
        </m:r>
        <m:r>
          <m:t>o</m:t>
        </m:r>
        <m:r>
          <m:t>n</m:t>
        </m:r>
        <m:r>
          <m:t>g</m:t>
        </m:r>
        <m:r>
          <m:t>e</m:t>
        </m:r>
        <m:r>
          <m:t>r</m:t>
        </m:r>
        <m:r>
          <m:t>p</m:t>
        </m:r>
        <m:r>
          <m:t>r</m:t>
        </m:r>
        <m:r>
          <m:t>o</m:t>
        </m:r>
        <m:r>
          <m:t>d</m:t>
        </m:r>
        <m:r>
          <m:t>u</m:t>
        </m:r>
        <m:r>
          <m:t>c</m:t>
        </m:r>
        <m:r>
          <m:t>t</m:t>
        </m:r>
        <m:r>
          <m:t>a</m:t>
        </m:r>
        <m:r>
          <m:t>n</m:t>
        </m:r>
        <m:r>
          <m:t>d</m:t>
        </m:r>
        <m:r>
          <m:t>m</m:t>
        </m:r>
        <m:r>
          <m:t>o</m:t>
        </m:r>
        <m:r>
          <m:t>r</m:t>
        </m:r>
        <m:r>
          <m:t>e</m:t>
        </m:r>
        <m:r>
          <m:t>d</m:t>
        </m:r>
        <m:r>
          <m:t>i</m:t>
        </m:r>
        <m:r>
          <m:t>s</m:t>
        </m:r>
        <m:r>
          <m:t>c</m:t>
        </m:r>
        <m:r>
          <m:t>i</m:t>
        </m:r>
        <m:r>
          <m:t>p</m:t>
        </m:r>
        <m:r>
          <m:t>l</m:t>
        </m:r>
        <m:r>
          <m:t>i</m:t>
        </m:r>
        <m:r>
          <m:t>n</m:t>
        </m:r>
        <m:r>
          <m:t>e</m:t>
        </m:r>
        <m:r>
          <m:t>d</m:t>
        </m:r>
        <m:r>
          <m:t>r</m:t>
        </m:r>
        <m:r>
          <m:t>e</m:t>
        </m:r>
        <m:r>
          <m:t>i</m:t>
        </m:r>
        <m:r>
          <m:t>n</m:t>
        </m:r>
        <m:r>
          <m:t>v</m:t>
        </m:r>
        <m:r>
          <m:t>e</m:t>
        </m:r>
        <m:r>
          <m:t>s</m:t>
        </m:r>
        <m:r>
          <m:t>t</m:t>
        </m:r>
        <m:r>
          <m:t>m</m:t>
        </m:r>
        <m:r>
          <m:t>e</m:t>
        </m:r>
        <m:r>
          <m:t>n</m:t>
        </m:r>
        <m:r>
          <m:t>t</m:t>
        </m:r>
        <m:r>
          <m:rPr>
            <m:sty m:val="p"/>
          </m:rPr>
          <m:t>.</m:t>
        </m:r>
        <m:r>
          <m:t>I</m:t>
        </m:r>
        <m:r>
          <m:t>n</m:t>
        </m:r>
        <m:r>
          <m:t>1</m:t>
        </m:r>
        <m:r>
          <m:t>Q</m:t>
        </m:r>
        <m:r>
          <m:t>26</m:t>
        </m:r>
        <m:r>
          <m:rPr>
            <m:sty m:val="p"/>
          </m:rPr>
          <m:t>,</m:t>
        </m:r>
        <m:r>
          <m:t>L</m:t>
        </m:r>
        <m:r>
          <m:t>V</m:t>
        </m:r>
        <m:r>
          <m:t>S</m:t>
        </m:r>
        <m:r>
          <m:t>r</m:t>
        </m:r>
        <m:r>
          <m:t>e</m:t>
        </m:r>
        <m:r>
          <m:t>p</m:t>
        </m:r>
        <m:r>
          <m:t>o</m:t>
        </m:r>
        <m:r>
          <m:t>r</m:t>
        </m:r>
        <m:r>
          <m:t>t</m:t>
        </m:r>
        <m:r>
          <m:t>e</m:t>
        </m:r>
        <m:r>
          <m:t>d</m:t>
        </m:r>
        <m:r>
          <m:t>M</m:t>
        </m:r>
        <m:r>
          <m:t>a</m:t>
        </m:r>
        <m:r>
          <m:t>c</m:t>
        </m:r>
        <m:r>
          <m:t>a</m:t>
        </m:r>
        <m:r>
          <m:t>o</m:t>
        </m:r>
        <m:r>
          <m:t>E</m:t>
        </m:r>
        <m:r>
          <m:t>B</m:t>
        </m:r>
        <m:r>
          <m:t>I</m:t>
        </m:r>
        <m:r>
          <m:t>T</m:t>
        </m:r>
        <m:r>
          <m:t>D</m:t>
        </m:r>
        <m:r>
          <m:t>A</m:t>
        </m:r>
        <m:r>
          <m:t>o</m:t>
        </m:r>
        <m:r>
          <m:t>f</m:t>
        </m:r>
        <m:r>
          <m:rPr>
            <m:sty m:val="p"/>
          </m:rPr>
          <m:t>*</m:t>
        </m:r>
        <m:r>
          <m:rPr>
            <m:sty m:val="p"/>
          </m:rPr>
          <m:t>*</m:t>
        </m:r>
      </m:oMath>
      <w:r>
        <w:rPr>
          <w:b/>
          <w:bCs/>
        </w:rPr>
        <w:t xml:space="preserve">633 million</w:t>
      </w:r>
      <w:r>
        <w:t xml:space="preserve">, although favorable hold contributed approximately</w:t>
      </w:r>
      <w:r>
        <w:t xml:space="preserve"> </w:t>
      </w:r>
      <w:r>
        <w:rPr>
          <w:b/>
          <w:bCs/>
        </w:rPr>
        <w:t xml:space="preserve">$15 million</w:t>
      </w:r>
      <w:r>
        <w:t xml:space="preserve">. (</w:t>
      </w:r>
      <w:hyperlink r:id="rId13">
        <w:r>
          <w:rPr>
            <w:rStyle w:val="Hyperlink"/>
          </w:rPr>
          <w:t xml:space="preserve">prnewswire.com</w:t>
        </w:r>
      </w:hyperlink>
      <w:r>
        <w:t xml:space="preserve">)</w:t>
      </w:r>
    </w:p>
    <w:p>
      <w:pPr>
        <w:pStyle w:val="BodyText"/>
      </w:pPr>
      <w:r>
        <w:t xml:space="preserve">The operating positives into the print include:</w:t>
      </w:r>
    </w:p>
    <w:p>
      <w:pPr>
        <w:pStyle w:val="Compact"/>
        <w:numPr>
          <w:ilvl w:val="0"/>
          <w:numId w:val="1003"/>
        </w:numPr>
      </w:pPr>
      <w:r>
        <w:t xml:space="preserve">The company cited</w:t>
      </w:r>
      <w:r>
        <w:t xml:space="preserve"> </w:t>
      </w:r>
      <w:r>
        <w:rPr>
          <w:b/>
          <w:bCs/>
        </w:rPr>
        <w:t xml:space="preserve">share gains across customer segments</w:t>
      </w:r>
      <w:r>
        <w:t xml:space="preserve"> </w:t>
      </w:r>
      <w:r>
        <w:t xml:space="preserve">in 1Q;</w:t>
      </w:r>
    </w:p>
    <w:p>
      <w:pPr>
        <w:pStyle w:val="Compact"/>
        <w:numPr>
          <w:ilvl w:val="0"/>
          <w:numId w:val="1003"/>
        </w:numPr>
      </w:pPr>
      <w:r>
        <w:t xml:space="preserve">Londoner Grand and Four Seasons Grand Suites have improved LVS’s ability to compete for premium customers;</w:t>
      </w:r>
    </w:p>
    <w:p>
      <w:pPr>
        <w:pStyle w:val="Compact"/>
        <w:numPr>
          <w:ilvl w:val="0"/>
          <w:numId w:val="1003"/>
        </w:numPr>
      </w:pPr>
      <w:r>
        <w:t xml:space="preserve">Management reported that its reinvestment programs were becoming more efficient;</w:t>
      </w:r>
    </w:p>
    <w:p>
      <w:pPr>
        <w:pStyle w:val="Compact"/>
        <w:numPr>
          <w:ilvl w:val="0"/>
          <w:numId w:val="1003"/>
        </w:numPr>
      </w:pPr>
      <w:r>
        <w:t xml:space="preserve">Industry demand remains supportive: Macao’s May 2026 gross gaming revenue was</w:t>
      </w:r>
      <w:r>
        <w:t xml:space="preserve"> </w:t>
      </w:r>
      <w:r>
        <w:rPr>
          <w:b/>
          <w:bCs/>
        </w:rPr>
        <w:t xml:space="preserve">MOP22.61 billion</w:t>
      </w:r>
      <w:r>
        <w:t xml:space="preserve">, up</w:t>
      </w:r>
      <w:r>
        <w:t xml:space="preserve"> </w:t>
      </w:r>
      <w:r>
        <w:rPr>
          <w:b/>
          <w:bCs/>
        </w:rPr>
        <w:t xml:space="preserve">6.7% year over year</w:t>
      </w:r>
      <w:r>
        <w:t xml:space="preserve"> </w:t>
      </w:r>
      <w:r>
        <w:t xml:space="preserve">and</w:t>
      </w:r>
      <w:r>
        <w:t xml:space="preserve"> </w:t>
      </w:r>
      <w:r>
        <w:rPr>
          <w:b/>
          <w:bCs/>
        </w:rPr>
        <w:t xml:space="preserve">13.7% sequentially</w:t>
      </w:r>
      <w:r>
        <w:t xml:space="preserve"> </w:t>
      </w:r>
      <w:r>
        <w:t xml:space="preserve">from April. (</w:t>
      </w:r>
      <w:hyperlink r:id="rId17">
        <w:r>
          <w:rPr>
            <w:rStyle w:val="Hyperlink"/>
          </w:rPr>
          <w:t xml:space="preserve">thebay.mo</w:t>
        </w:r>
      </w:hyperlink>
      <w:r>
        <w:t xml:space="preserve">)</w:t>
      </w:r>
    </w:p>
    <w:p>
      <w:pPr>
        <w:pStyle w:val="FirstParagraph"/>
      </w:pPr>
      <w:r>
        <w:t xml:space="preserve">The offset is that LVS is deliberately adding service personnel and investing in customer experience. That is strategically sensible if it drives premium growth and share gains, but it creates a near-term margin headwind. A quarter with revenue growth but flat-to-down Macao margins would likely be tolerated if management demonstrates improved customer economics and credible payback on those investments. Conversely, weaker share, worsening reinvestment, and rising payroll without revenue leverage would challenge the path to the $700 million target.</w:t>
      </w:r>
    </w:p>
    <w:bookmarkEnd w:id="18"/>
    <w:bookmarkStart w:id="19" w:name="X6f6af2539250a599469a8f4e748979e7a13fd57"/>
    <w:p>
      <w:pPr>
        <w:pStyle w:val="Heading2"/>
      </w:pPr>
      <w:r>
        <w:t xml:space="preserve">Capital allocation: still a major part of the thesis</w:t>
      </w:r>
    </w:p>
    <w:p>
      <w:pPr>
        <w:pStyle w:val="FirstParagraph"/>
      </w:pPr>
      <w:r>
        <w:t xml:space="preserve">LVS returned substantial capital in 1Q26, repurchasing</w:t>
      </w:r>
      <w:r>
        <w:t xml:space="preserve"> </w:t>
      </w:r>
      <m:oMath>
        <m:r>
          <m:t>740</m:t>
        </m:r>
        <m:r>
          <m:t>m</m:t>
        </m:r>
        <m:r>
          <m:t>i</m:t>
        </m:r>
        <m:r>
          <m:t>l</m:t>
        </m:r>
        <m:r>
          <m:t>l</m:t>
        </m:r>
        <m:r>
          <m:t>i</m:t>
        </m:r>
        <m:r>
          <m:t>o</m:t>
        </m:r>
        <m:r>
          <m:t>n</m:t>
        </m:r>
        <m:r>
          <m:rPr>
            <m:sty m:val="p"/>
          </m:rPr>
          <m:t>*</m:t>
        </m:r>
        <m:r>
          <m:rPr>
            <m:sty m:val="p"/>
          </m:rPr>
          <m:t>*</m:t>
        </m:r>
        <m:r>
          <m:t>o</m:t>
        </m:r>
        <m:r>
          <m:t>f</m:t>
        </m:r>
        <m:r>
          <m:t>s</m:t>
        </m:r>
        <m:r>
          <m:t>t</m:t>
        </m:r>
        <m:r>
          <m:t>o</m:t>
        </m:r>
        <m:r>
          <m:t>c</m:t>
        </m:r>
        <m:r>
          <m:t>k</m:t>
        </m:r>
        <m:r>
          <m:t>a</m:t>
        </m:r>
        <m:r>
          <m:t>n</m:t>
        </m:r>
        <m:r>
          <m:t>d</m:t>
        </m:r>
        <m:r>
          <m:t>p</m:t>
        </m:r>
        <m:r>
          <m:t>a</m:t>
        </m:r>
        <m:r>
          <m:t>y</m:t>
        </m:r>
        <m:r>
          <m:t>i</m:t>
        </m:r>
        <m:r>
          <m:t>n</m:t>
        </m:r>
        <m:r>
          <m:t>g</m:t>
        </m:r>
        <m:r>
          <m:t>i</m:t>
        </m:r>
        <m:r>
          <m:t>t</m:t>
        </m:r>
        <m:r>
          <m:t>s</m:t>
        </m:r>
        <m:r>
          <m:t>r</m:t>
        </m:r>
        <m:r>
          <m:t>e</m:t>
        </m:r>
        <m:r>
          <m:t>c</m:t>
        </m:r>
        <m:r>
          <m:t>u</m:t>
        </m:r>
        <m:r>
          <m:t>r</m:t>
        </m:r>
        <m:r>
          <m:t>r</m:t>
        </m:r>
        <m:r>
          <m:t>i</m:t>
        </m:r>
        <m:r>
          <m:t>n</m:t>
        </m:r>
        <m:r>
          <m:t>g</m:t>
        </m:r>
        <m:r>
          <m:rPr>
            <m:sty m:val="p"/>
          </m:rPr>
          <m:t>*</m:t>
        </m:r>
        <m:r>
          <m:rPr>
            <m:sty m:val="p"/>
          </m:rPr>
          <m:t>*</m:t>
        </m:r>
      </m:oMath>
      <w:r>
        <w:rPr>
          <w:b/>
          <w:bCs/>
        </w:rPr>
        <w:t xml:space="preserve">0.30-per-share</w:t>
      </w:r>
      <w:r>
        <w:t xml:space="preserve"> </w:t>
      </w:r>
      <w:r>
        <w:t xml:space="preserve">dividend. At March 31, the company had</w:t>
      </w:r>
      <w:r>
        <w:t xml:space="preserve"> </w:t>
      </w:r>
      <m:oMath>
        <m:r>
          <m:t>3.33</m:t>
        </m:r>
        <m:r>
          <m:t>b</m:t>
        </m:r>
        <m:r>
          <m:t>i</m:t>
        </m:r>
        <m:r>
          <m:t>l</m:t>
        </m:r>
        <m:r>
          <m:t>l</m:t>
        </m:r>
        <m:r>
          <m:t>i</m:t>
        </m:r>
        <m:r>
          <m:t>o</m:t>
        </m:r>
        <m:r>
          <m:t>n</m:t>
        </m:r>
        <m:r>
          <m:rPr>
            <m:sty m:val="p"/>
          </m:rPr>
          <m:t>*</m:t>
        </m:r>
        <m:r>
          <m:rPr>
            <m:sty m:val="p"/>
          </m:rPr>
          <m:t>*</m:t>
        </m:r>
        <m:r>
          <m:t>o</m:t>
        </m:r>
        <m:r>
          <m:t>f</m:t>
        </m:r>
        <m:r>
          <m:t>u</m:t>
        </m:r>
        <m:r>
          <m:t>n</m:t>
        </m:r>
        <m:r>
          <m:t>r</m:t>
        </m:r>
        <m:r>
          <m:t>e</m:t>
        </m:r>
        <m:r>
          <m:t>s</m:t>
        </m:r>
        <m:r>
          <m:t>t</m:t>
        </m:r>
        <m:r>
          <m:t>r</m:t>
        </m:r>
        <m:r>
          <m:t>i</m:t>
        </m:r>
        <m:r>
          <m:t>c</m:t>
        </m:r>
        <m:r>
          <m:t>t</m:t>
        </m:r>
        <m:r>
          <m:t>e</m:t>
        </m:r>
        <m:r>
          <m:t>d</m:t>
        </m:r>
        <m:r>
          <m:t>c</m:t>
        </m:r>
        <m:r>
          <m:t>a</m:t>
        </m:r>
        <m:r>
          <m:t>s</m:t>
        </m:r>
        <m:r>
          <m:t>h</m:t>
        </m:r>
        <m:r>
          <m:rPr>
            <m:sty m:val="p"/>
          </m:rPr>
          <m:t>,</m:t>
        </m:r>
        <m:r>
          <m:rPr>
            <m:sty m:val="p"/>
          </m:rPr>
          <m:t>*</m:t>
        </m:r>
        <m:r>
          <m:rPr>
            <m:sty m:val="p"/>
          </m:rPr>
          <m:t>*</m:t>
        </m:r>
      </m:oMath>
      <w:r>
        <w:rPr>
          <w:b/>
          <w:bCs/>
        </w:rPr>
        <w:t xml:space="preserve">15.57 billion</w:t>
      </w:r>
      <w:r>
        <w:t xml:space="preserve"> </w:t>
      </w:r>
      <w:r>
        <w:t xml:space="preserve">of debt excluding finance leases, and</w:t>
      </w:r>
      <w:r>
        <w:t xml:space="preserve"> </w:t>
      </w:r>
      <w:r>
        <w:rPr>
          <w:b/>
          <w:bCs/>
        </w:rPr>
        <w:t xml:space="preserve">$817 million</w:t>
      </w:r>
      <w:r>
        <w:t xml:space="preserve"> </w:t>
      </w:r>
      <w:r>
        <w:t xml:space="preserve">remaining under its share-repurchase authorization. (</w:t>
      </w:r>
      <w:hyperlink r:id="rId13">
        <w:r>
          <w:rPr>
            <w:rStyle w:val="Hyperlink"/>
          </w:rPr>
          <w:t xml:space="preserve">prnewswire.com</w:t>
        </w:r>
      </w:hyperlink>
      <w:r>
        <w:t xml:space="preserve">)</w:t>
      </w:r>
    </w:p>
    <w:p>
      <w:pPr>
        <w:pStyle w:val="BodyText"/>
      </w:pPr>
      <w:r>
        <w:t xml:space="preserve">The 2Q call should clarify the balance among:</w:t>
      </w:r>
    </w:p>
    <w:p>
      <w:pPr>
        <w:pStyle w:val="Compact"/>
        <w:numPr>
          <w:ilvl w:val="0"/>
          <w:numId w:val="1004"/>
        </w:numPr>
      </w:pPr>
      <w:r>
        <w:t xml:space="preserve">ongoing LVS repurchases;</w:t>
      </w:r>
    </w:p>
    <w:p>
      <w:pPr>
        <w:pStyle w:val="Compact"/>
        <w:numPr>
          <w:ilvl w:val="0"/>
          <w:numId w:val="1004"/>
        </w:numPr>
      </w:pPr>
      <w:r>
        <w:t xml:space="preserve">possible Sands China repurchases;</w:t>
      </w:r>
    </w:p>
    <w:p>
      <w:pPr>
        <w:pStyle w:val="Compact"/>
        <w:numPr>
          <w:ilvl w:val="0"/>
          <w:numId w:val="1004"/>
        </w:numPr>
      </w:pPr>
      <w:r>
        <w:t xml:space="preserve">Macao renovation spending;</w:t>
      </w:r>
    </w:p>
    <w:p>
      <w:pPr>
        <w:pStyle w:val="Compact"/>
        <w:numPr>
          <w:ilvl w:val="0"/>
          <w:numId w:val="1004"/>
        </w:numPr>
      </w:pPr>
      <w:r>
        <w:t xml:space="preserve">maintenance capital;</w:t>
      </w:r>
    </w:p>
    <w:p>
      <w:pPr>
        <w:pStyle w:val="Compact"/>
        <w:numPr>
          <w:ilvl w:val="0"/>
          <w:numId w:val="1004"/>
        </w:numPr>
      </w:pPr>
      <w:r>
        <w:t xml:space="preserve">MBS expansion funding; and</w:t>
      </w:r>
    </w:p>
    <w:p>
      <w:pPr>
        <w:pStyle w:val="Compact"/>
        <w:numPr>
          <w:ilvl w:val="0"/>
          <w:numId w:val="1004"/>
        </w:numPr>
      </w:pPr>
      <w:r>
        <w:t xml:space="preserve">leverage and liquidity priorities.</w:t>
      </w:r>
    </w:p>
    <w:p>
      <w:pPr>
        <w:pStyle w:val="FirstParagraph"/>
      </w:pPr>
      <w:r>
        <w:t xml:space="preserve">The stock closed at</w:t>
      </w:r>
      <w:r>
        <w:t xml:space="preserve"> </w:t>
      </w:r>
      <w:r>
        <w:rPr>
          <w:b/>
          <w:bCs/>
        </w:rPr>
        <w:t xml:space="preserve">$45.48 on July 21</w:t>
      </w:r>
      <w:r>
        <w:t xml:space="preserve">, down</w:t>
      </w:r>
      <w:r>
        <w:t xml:space="preserve"> </w:t>
      </w:r>
      <w:r>
        <w:rPr>
          <w:b/>
          <w:bCs/>
        </w:rPr>
        <w:t xml:space="preserve">20%</w:t>
      </w:r>
      <w:r>
        <w:t xml:space="preserve"> </w:t>
      </w:r>
      <w:r>
        <w:t xml:space="preserve">from its April 22 closing price of $56.85. That weaker share-price backdrop raises the importance of any continued buyback activity—particularly because management has repeatedly characterized LVS equity as undervalued.</w:t>
      </w:r>
    </w:p>
    <w:bookmarkEnd w:id="19"/>
    <w:bookmarkStart w:id="23" w:name="Xc4e106d7cabb09e67e22e9ebe6025e84bf1eca6"/>
    <w:p>
      <w:pPr>
        <w:pStyle w:val="Heading2"/>
      </w:pPr>
      <w:r>
        <w:t xml:space="preserve">Longer-term catalysts and execution items</w:t>
      </w:r>
    </w:p>
    <w:bookmarkStart w:id="20" w:name="Xed492ffc35563c5dd6e1b5f5b9299201d3fac8e"/>
    <w:p>
      <w:pPr>
        <w:pStyle w:val="Heading3"/>
      </w:pPr>
      <w:r>
        <w:t xml:space="preserve">1. Venetian Macao renovation</w:t>
      </w:r>
    </w:p>
    <w:p>
      <w:pPr>
        <w:pStyle w:val="FirstParagraph"/>
      </w:pPr>
      <w:r>
        <w:t xml:space="preserve">LVS plans to begin bringing refreshed Venetian room product into service during 3Q26, with the broader project expected to run through late 2027 or early 2028. Management has said it does not expect meaningful portfolio-wide disruption because demand can be shifted among its Macao properties. The key issue is whether capex and temporary inventory reductions remain as contained as advertised.</w:t>
      </w:r>
    </w:p>
    <w:bookmarkEnd w:id="20"/>
    <w:bookmarkStart w:id="21" w:name="X362d271e42e61bc5b9b8d3c08cc5a90c8bc3f18"/>
    <w:p>
      <w:pPr>
        <w:pStyle w:val="Heading3"/>
      </w:pPr>
      <w:r>
        <w:t xml:space="preserve">2. MBS expansion</w:t>
      </w:r>
    </w:p>
    <w:p>
      <w:pPr>
        <w:pStyle w:val="FirstParagraph"/>
      </w:pPr>
      <w:r>
        <w:t xml:space="preserve">Management continues to frame the Singapore expansion as a high-return luxury-hospitality and entertainment project, targeting returns above 20% on the total investment. Investors will want confirmation that timing, scope and financing remain intact, as this project is central to LVS’s post-2027 growth outlook.</w:t>
      </w:r>
    </w:p>
    <w:bookmarkEnd w:id="21"/>
    <w:bookmarkStart w:id="22" w:name="X47aabfccee1580615134cfe1842f1025170e78d"/>
    <w:p>
      <w:pPr>
        <w:pStyle w:val="Heading3"/>
      </w:pPr>
      <w:r>
        <w:t xml:space="preserve">3. New management execution</w:t>
      </w:r>
    </w:p>
    <w:p>
      <w:pPr>
        <w:pStyle w:val="FirstParagraph"/>
      </w:pPr>
      <w:r>
        <w:t xml:space="preserve">Patrick Dumont is now reporting as chairman and CEO, and 2Q will be an important opportunity to assess whether the new leadership structure is translating into consistent operating messaging, capital discipline and measurable progress in Macao.</w:t>
      </w:r>
    </w:p>
    <w:bookmarkEnd w:id="22"/>
    <w:bookmarkEnd w:id="23"/>
    <w:bookmarkStart w:id="26" w:name="potential-market-reactions"/>
    <w:p>
      <w:pPr>
        <w:pStyle w:val="Heading2"/>
      </w:pPr>
      <w:r>
        <w:t xml:space="preserve">Potential market reactions</w:t>
      </w:r>
    </w:p>
    <w:bookmarkStart w:id="24" w:name="bull-case"/>
    <w:p>
      <w:pPr>
        <w:pStyle w:val="Heading3"/>
      </w:pPr>
      <w:r>
        <w:rPr>
          <w:b/>
          <w:bCs/>
        </w:rPr>
        <w:t xml:space="preserve">Bull case</w:t>
      </w:r>
    </w:p>
    <w:p>
      <w:pPr>
        <w:pStyle w:val="Compact"/>
        <w:numPr>
          <w:ilvl w:val="0"/>
          <w:numId w:val="1005"/>
        </w:numPr>
      </w:pPr>
      <w:r>
        <w:t xml:space="preserve">MBS remains near record EBITDA on strong underlying mass/slots, hotel and retail—not just hold.</w:t>
      </w:r>
    </w:p>
    <w:p>
      <w:pPr>
        <w:pStyle w:val="Compact"/>
        <w:numPr>
          <w:ilvl w:val="0"/>
          <w:numId w:val="1005"/>
        </w:numPr>
      </w:pPr>
      <w:r>
        <w:t xml:space="preserve">Macao EBITDA stays near the low-$600 million range despite seasonal softness.</w:t>
      </w:r>
    </w:p>
    <w:p>
      <w:pPr>
        <w:pStyle w:val="Compact"/>
        <w:numPr>
          <w:ilvl w:val="0"/>
          <w:numId w:val="1005"/>
        </w:numPr>
      </w:pPr>
      <w:r>
        <w:t xml:space="preserve">LVS demonstrates additional market-share gains and stable-to-improving reinvestment intensity.</w:t>
      </w:r>
    </w:p>
    <w:p>
      <w:pPr>
        <w:pStyle w:val="Compact"/>
        <w:numPr>
          <w:ilvl w:val="0"/>
          <w:numId w:val="1005"/>
        </w:numPr>
      </w:pPr>
      <w:r>
        <w:t xml:space="preserve">Buybacks remain meaningful, while capex and leverage remain controlled.</w:t>
      </w:r>
    </w:p>
    <w:p>
      <w:pPr>
        <w:pStyle w:val="Compact"/>
        <w:numPr>
          <w:ilvl w:val="0"/>
          <w:numId w:val="1005"/>
        </w:numPr>
      </w:pPr>
      <w:r>
        <w:t xml:space="preserve">Management reinforces confidence in the Macao $700 million EBITDA path.</w:t>
      </w:r>
    </w:p>
    <w:bookmarkEnd w:id="24"/>
    <w:bookmarkStart w:id="25" w:name="bear-case"/>
    <w:p>
      <w:pPr>
        <w:pStyle w:val="Heading3"/>
      </w:pPr>
      <w:r>
        <w:rPr>
          <w:b/>
          <w:bCs/>
        </w:rPr>
        <w:t xml:space="preserve">Bear case</w:t>
      </w:r>
    </w:p>
    <w:p>
      <w:pPr>
        <w:pStyle w:val="Compact"/>
        <w:numPr>
          <w:ilvl w:val="0"/>
          <w:numId w:val="1006"/>
        </w:numPr>
      </w:pPr>
      <w:r>
        <w:t xml:space="preserve">MBS underperforms due to VIP normalization, lower hold or weaker premium visitation.</w:t>
      </w:r>
    </w:p>
    <w:p>
      <w:pPr>
        <w:pStyle w:val="Compact"/>
        <w:numPr>
          <w:ilvl w:val="0"/>
          <w:numId w:val="1006"/>
        </w:numPr>
      </w:pPr>
      <w:r>
        <w:t xml:space="preserve">Macao share gains stall, while staffing and customer-service investments pressure margins.</w:t>
      </w:r>
    </w:p>
    <w:p>
      <w:pPr>
        <w:pStyle w:val="Compact"/>
        <w:numPr>
          <w:ilvl w:val="0"/>
          <w:numId w:val="1006"/>
        </w:numPr>
      </w:pPr>
      <w:r>
        <w:t xml:space="preserve">Capital spending rises faster than expected, constraining repurchases.</w:t>
      </w:r>
    </w:p>
    <w:p>
      <w:pPr>
        <w:pStyle w:val="Compact"/>
        <w:numPr>
          <w:ilvl w:val="0"/>
          <w:numId w:val="1006"/>
        </w:numPr>
      </w:pPr>
      <w:r>
        <w:t xml:space="preserve">Management becomes less constructive on premium demand, renovation disruption or the timing/return profile of the MBS expansion.</w:t>
      </w:r>
    </w:p>
    <w:bookmarkEnd w:id="25"/>
    <w:bookmarkEnd w:id="26"/>
    <w:bookmarkStart w:id="27" w:name="bottom-line"/>
    <w:p>
      <w:pPr>
        <w:pStyle w:val="Heading2"/>
      </w:pPr>
      <w:r>
        <w:t xml:space="preserve">Bottom line</w:t>
      </w:r>
    </w:p>
    <w:p>
      <w:pPr>
        <w:pStyle w:val="FirstParagraph"/>
      </w:pPr>
      <w:r>
        <w:t xml:space="preserve">LVS has two world-class Asian gaming assets, with MBS providing exceptional cash generation and Macao offering substantial operational upside if service, product and reinvestment changes translate into sustained share gains. But investors should treat</w:t>
      </w:r>
      <w:r>
        <w:t xml:space="preserve"> </w:t>
      </w:r>
      <w:r>
        <w:rPr>
          <w:b/>
          <w:bCs/>
        </w:rPr>
        <w:t xml:space="preserve">hold-adjusted property EBITDA and forward operating commentary</w:t>
      </w:r>
      <w:r>
        <w:t xml:space="preserve"> </w:t>
      </w:r>
      <w:r>
        <w:t xml:space="preserve">as the most important outputs from this report.</w:t>
      </w:r>
    </w:p>
    <w:p>
      <w:pPr>
        <w:pStyle w:val="BodyText"/>
      </w:pPr>
      <w:r>
        <w:t xml:space="preserve">A modest revenue or EPS beat alone may not be enough. The more meaningful positive outcome would be confirmation that:</w:t>
      </w:r>
    </w:p>
    <w:p>
      <w:pPr>
        <w:pStyle w:val="Compact"/>
        <w:numPr>
          <w:ilvl w:val="0"/>
          <w:numId w:val="1007"/>
        </w:numPr>
      </w:pPr>
      <w:r>
        <w:rPr>
          <w:b/>
          <w:bCs/>
        </w:rPr>
        <w:t xml:space="preserve">MBS’s earnings power remains structurally elevated;</w:t>
      </w:r>
    </w:p>
    <w:p>
      <w:pPr>
        <w:pStyle w:val="Compact"/>
        <w:numPr>
          <w:ilvl w:val="0"/>
          <w:numId w:val="1007"/>
        </w:numPr>
      </w:pPr>
      <w:r>
        <w:rPr>
          <w:b/>
          <w:bCs/>
        </w:rPr>
        <w:t xml:space="preserve">Macao is growing share without sacrificing profitability;</w:t>
      </w:r>
      <w:r>
        <w:t xml:space="preserve"> </w:t>
      </w:r>
      <w:r>
        <w:t xml:space="preserve">and</w:t>
      </w:r>
    </w:p>
    <w:p>
      <w:pPr>
        <w:pStyle w:val="Compact"/>
        <w:numPr>
          <w:ilvl w:val="0"/>
          <w:numId w:val="1007"/>
        </w:numPr>
      </w:pPr>
      <w:r>
        <w:rPr>
          <w:b/>
          <w:bCs/>
        </w:rPr>
        <w:t xml:space="preserve">capital returns can coexist with the company’s renovation and Singapore-expansion ambitions.</w:t>
      </w:r>
    </w:p>
    <w:bookmarkEnd w:id="27"/>
    <w:bookmarkEnd w:id="28"/>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17" Target="https://thebay.mo/innovation-business/business/macau-ggr-may-2026-macao/?utm_source=openai" TargetMode="External" /><Relationship Type="http://schemas.openxmlformats.org/officeDocument/2006/relationships/hyperlink" Id="rId10" Target="https://www.marketbeat.com/earnings/reports/2026-7-22-las-vegas-sands-corp-stock/" TargetMode="External" /><Relationship Type="http://schemas.openxmlformats.org/officeDocument/2006/relationships/hyperlink" Id="rId13" Target="https://www.prnewswire.com/news-releases/las-vegas-sands-reports-first-quarter-2026-results-302750790.html?utm_source=openai" TargetMode="External" /><Relationship Type="http://schemas.openxmlformats.org/officeDocument/2006/relationships/hyperlink" Id="rId14" Target="https://www.prnewswire.com/news-releases/las-vegas-sands-reports-second-quarter-2025-results-302512379.html?utm_source=openai" TargetMode="External" /><Relationship Type="http://schemas.openxmlformats.org/officeDocument/2006/relationships/hyperlink" Id="rId9" Target="https://www.prnewswire.com/news-releases/sands-to-release-second-quarter-2026-financial-results-302826750.html" TargetMode="External" /></Relationships>
</file>

<file path=word/_rels/footnotes.xml.rels><?xml version="1.0" encoding="UTF-8"?><Relationships xmlns="http://schemas.openxmlformats.org/package/2006/relationships"><Relationship Type="http://schemas.openxmlformats.org/officeDocument/2006/relationships/hyperlink" Id="rId17" Target="https://thebay.mo/innovation-business/business/macau-ggr-may-2026-macao/?utm_source=openai" TargetMode="External" /><Relationship Type="http://schemas.openxmlformats.org/officeDocument/2006/relationships/hyperlink" Id="rId10" Target="https://www.marketbeat.com/earnings/reports/2026-7-22-las-vegas-sands-corp-stock/" TargetMode="External" /><Relationship Type="http://schemas.openxmlformats.org/officeDocument/2006/relationships/hyperlink" Id="rId13" Target="https://www.prnewswire.com/news-releases/las-vegas-sands-reports-first-quarter-2026-results-302750790.html?utm_source=openai" TargetMode="External" /><Relationship Type="http://schemas.openxmlformats.org/officeDocument/2006/relationships/hyperlink" Id="rId14" Target="https://www.prnewswire.com/news-releases/las-vegas-sands-reports-second-quarter-2025-results-302512379.html?utm_source=openai" TargetMode="External" /><Relationship Type="http://schemas.openxmlformats.org/officeDocument/2006/relationships/hyperlink" Id="rId9" Target="https://www.prnewswire.com/news-releases/sands-to-release-second-quarter-2026-financial-results-302826750.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2026-07-22T00:34:41Z</dcterms:created>
  <dcterms:modified xsi:type="dcterms:W3CDTF">2026-07-22T00:34:41Z</dcterms:modified>
</cp:coreProperties>
</file>

<file path=docProps/custom.xml><?xml version="1.0" encoding="utf-8"?>
<Properties xmlns="http://schemas.openxmlformats.org/officeDocument/2006/custom-properties" xmlns:vt="http://schemas.openxmlformats.org/officeDocument/2006/docPropsVTypes"/>
</file>