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Las Vegas Sands Corp. (LVS)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Las Vegas Sands Corp.</w:t>
            </w:r>
          </w:p>
        </w:tc>
        <w:tc>
          <w:tcPr>
            <w:tcW w:type="dxa" w:w="2160"/>
          </w:tcPr>
          <w:p>
            <w:r>
              <w:rPr>
                <w:rFonts w:ascii="Calibri" w:hAnsi="Calibri"/>
                <w:b/>
                <w:sz w:val="22"/>
              </w:rPr>
              <w:t>Earnings Date</w:t>
            </w:r>
          </w:p>
        </w:tc>
        <w:tc>
          <w:tcPr>
            <w:tcW w:type="dxa" w:w="2160"/>
          </w:tcPr>
          <w:p>
            <w:r>
              <w:rPr>
                <w:rFonts w:ascii="Calibri" w:hAnsi="Calibri"/>
                <w:sz w:val="22"/>
              </w:rPr>
              <w:t>July 22, 2026 (After Close)</w:t>
            </w:r>
          </w:p>
        </w:tc>
      </w:tr>
      <w:tr>
        <w:tc>
          <w:tcPr>
            <w:tcW w:type="dxa" w:w="2160"/>
          </w:tcPr>
          <w:p>
            <w:r>
              <w:rPr>
                <w:rFonts w:ascii="Calibri" w:hAnsi="Calibri"/>
                <w:b/>
                <w:sz w:val="22"/>
              </w:rPr>
              <w:t>Ticker</w:t>
            </w:r>
          </w:p>
        </w:tc>
        <w:tc>
          <w:tcPr>
            <w:tcW w:type="dxa" w:w="2160"/>
          </w:tcPr>
          <w:p>
            <w:r>
              <w:rPr>
                <w:rFonts w:ascii="Calibri" w:hAnsi="Calibri"/>
                <w:sz w:val="22"/>
              </w:rPr>
              <w:t>LVS (NYSE)</w:t>
            </w:r>
          </w:p>
        </w:tc>
        <w:tc>
          <w:tcPr>
            <w:tcW w:type="dxa" w:w="2160"/>
          </w:tcPr>
          <w:p>
            <w:r>
              <w:rPr>
                <w:rFonts w:ascii="Calibri" w:hAnsi="Calibri"/>
                <w:b/>
                <w:sz w:val="22"/>
              </w:rPr>
              <w:t>Prepared</w:t>
            </w:r>
          </w:p>
        </w:tc>
        <w:tc>
          <w:tcPr>
            <w:tcW w:type="dxa" w:w="2160"/>
          </w:tcPr>
          <w:p>
            <w:r>
              <w:rPr>
                <w:rFonts w:ascii="Calibri" w:hAnsi="Calibri"/>
                <w:sz w:val="22"/>
              </w:rPr>
              <w:t>July 21, 2026</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Sector ETF</w:t>
            </w:r>
          </w:p>
        </w:tc>
        <w:tc>
          <w:tcPr>
            <w:tcW w:type="dxa" w:w="2160"/>
          </w:tcPr>
          <w:p>
            <w:r>
              <w:rPr>
                <w:rFonts w:ascii="Calibri" w:hAnsi="Calibri"/>
                <w:sz w:val="22"/>
              </w:rPr>
              <w:t>BJK (VanEck Gaming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mixed-to-cautious — consensus has been revised down sharply in the final weeks before the print, creating a potentially beatable bar, but the single biggest swing factor is whether Macao EBITDA can sustain the Q1 momentum or reverts given Q2's seasonally softer profile and ongoing competitive reinvestment pressure.</w:t>
      </w:r>
    </w:p>
    <w:p>
      <w:r>
        <w:rPr>
          <w:rFonts w:ascii="Calibri" w:hAnsi="Calibri"/>
          <w:color w:val="525866"/>
          <w:sz w:val="22"/>
        </w:rPr>
        <w:t xml:space="preserve">Heading into Q2 2026, the bar for LVS has been meaningfully lowered: consensus operating EPS has declined from $0.80 in early July to $0.75 today, and Macao EBITDA estimates have been cut from ~$599M to ~$559M over the same window, suggesting the Street is pricing in a sequential step-down from Q1's $633M print. </w:t>
      </w:r>
      <w:r>
        <w:rPr>
          <w:rFonts w:ascii="Calibri" w:hAnsi="Calibri"/>
          <w:b/>
          <w:color w:val="525866"/>
          <w:sz w:val="22"/>
        </w:rPr>
        <w:t>Management's tone at the May 27 Bernstein conference remained constructive</w:t>
      </w:r>
      <w:r>
        <w:rPr>
          <w:rFonts w:ascii="Calibri" w:hAnsi="Calibri"/>
          <w:color w:val="525866"/>
          <w:sz w:val="22"/>
        </w:rPr>
        <w:t xml:space="preserve"> — reiterating the $2.7–2.8B annual Macao EBITDA ambition, confirming no measurable demand impact from jet fuel/flight disruptions in Singapore, and signaling continued aggressive buybacks — but the Q1 call itself flagged that Q2 is "typically our softest" quarter and that service-investment-driven OpEx headwinds will persist. Singapore's Marina Bay Sands remains the earnings anchor, with consensus at ~$728M EBITDA for Q2, essentially flat with Q1's $788M beat, and the VIP rolling segment's inherent volatility (Q1 saw an extraordinary $18B in rolling volume) is the key wildcard that could swing the print materially in either direction. The stock has declined ~20% since Q1 earnings on multiple compression (EV/EBITDA contracted from ~9.75x to ~8.26x), leaving valuation at a meaningful discount to history and suggesting the market has already priced in considerable disappointment; a clean beat on Macao margins or any upside surprise in Singapore rolling volume could catalyze a sharp re-rating. The primary wildcard is </w:t>
      </w:r>
      <w:r>
        <w:rPr>
          <w:rFonts w:ascii="Calibri" w:hAnsi="Calibri"/>
          <w:b/>
          <w:color w:val="525866"/>
          <w:sz w:val="22"/>
        </w:rPr>
        <w:t>Singapore VIP hold percentage</w:t>
      </w:r>
      <w:r>
        <w:rPr>
          <w:rFonts w:ascii="Calibri" w:hAnsi="Calibri"/>
          <w:color w:val="525866"/>
          <w:sz w:val="22"/>
        </w:rPr>
        <w:t>: management's smart-table program has structurally raised hold rates above 4%, and any quarter where this normalizes lower could mask underlying volume strength and disappoint on EBITDA even with solid mass market trends.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represents a low-to-moderate bar after recent downward revisions, particularly for Macao EBITDA. Singapore MBS EBITDA is the bigger swing factor given VIP rolling volatility; Macao margin trajectory is the key debate.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Target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$3,585M</w:t>
            </w:r>
          </w:p>
        </w:tc>
        <w:tc>
          <w:tcPr>
            <w:tcW w:type="dxa" w:w="1234"/>
          </w:tcPr>
          <w:p>
            <w:r>
              <w:rPr>
                <w:rFonts w:ascii="Calibri" w:hAnsi="Calibri"/>
                <w:sz w:val="22"/>
              </w:rPr>
              <w:t>$3,175M</w:t>
            </w:r>
          </w:p>
        </w:tc>
        <w:tc>
          <w:tcPr>
            <w:tcW w:type="dxa" w:w="1234"/>
          </w:tcPr>
          <w:p>
            <w:r>
              <w:rPr>
                <w:rFonts w:ascii="Calibri" w:hAnsi="Calibri"/>
                <w:sz w:val="22"/>
              </w:rPr>
              <w:t>$3,331M</w:t>
            </w:r>
          </w:p>
        </w:tc>
        <w:tc>
          <w:tcPr>
            <w:tcW w:type="dxa" w:w="1234"/>
          </w:tcPr>
          <w:p>
            <w:r>
              <w:rPr>
                <w:rFonts w:ascii="Calibri" w:hAnsi="Calibri"/>
                <w:sz w:val="22"/>
              </w:rPr>
              <w:t>+4.9%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Consolidated EBITDA (Operating)</w:t>
            </w:r>
          </w:p>
        </w:tc>
        <w:tc>
          <w:tcPr>
            <w:tcW w:type="dxa" w:w="1234"/>
          </w:tcPr>
          <w:p>
            <w:r>
              <w:rPr>
                <w:rFonts w:ascii="Calibri" w:hAnsi="Calibri"/>
                <w:sz w:val="22"/>
              </w:rPr>
              <w:t>$1,338M</w:t>
            </w:r>
          </w:p>
        </w:tc>
        <w:tc>
          <w:tcPr>
            <w:tcW w:type="dxa" w:w="1234"/>
          </w:tcPr>
          <w:p>
            <w:r>
              <w:rPr>
                <w:rFonts w:ascii="Calibri" w:hAnsi="Calibri"/>
                <w:sz w:val="22"/>
              </w:rPr>
              <w:t>$1,265M</w:t>
            </w:r>
          </w:p>
        </w:tc>
        <w:tc>
          <w:tcPr>
            <w:tcW w:type="dxa" w:w="1234"/>
          </w:tcPr>
          <w:p>
            <w:r>
              <w:rPr>
                <w:rFonts w:ascii="Calibri" w:hAnsi="Calibri"/>
                <w:sz w:val="22"/>
              </w:rPr>
              <w:t>$1,209M</w:t>
            </w:r>
          </w:p>
        </w:tc>
        <w:tc>
          <w:tcPr>
            <w:tcW w:type="dxa" w:w="1234"/>
          </w:tcPr>
          <w:p>
            <w:r>
              <w:rPr>
                <w:rFonts w:ascii="Calibri" w:hAnsi="Calibri"/>
                <w:sz w:val="22"/>
              </w:rPr>
              <w:t>-4.4%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Macao Operations EBITDA</w:t>
            </w:r>
          </w:p>
        </w:tc>
        <w:tc>
          <w:tcPr>
            <w:tcW w:type="dxa" w:w="1234"/>
          </w:tcPr>
          <w:p>
            <w:r>
              <w:rPr>
                <w:rFonts w:ascii="Calibri" w:hAnsi="Calibri"/>
                <w:sz w:val="22"/>
              </w:rPr>
              <w:t>$633M</w:t>
            </w:r>
          </w:p>
        </w:tc>
        <w:tc>
          <w:tcPr>
            <w:tcW w:type="dxa" w:w="1234"/>
          </w:tcPr>
          <w:p>
            <w:r>
              <w:rPr>
                <w:rFonts w:ascii="Calibri" w:hAnsi="Calibri"/>
                <w:sz w:val="22"/>
              </w:rPr>
              <w:t>$566M</w:t>
            </w:r>
          </w:p>
        </w:tc>
        <w:tc>
          <w:tcPr>
            <w:tcW w:type="dxa" w:w="1234"/>
          </w:tcPr>
          <w:p>
            <w:r>
              <w:rPr>
                <w:rFonts w:ascii="Calibri" w:hAnsi="Calibri"/>
                <w:sz w:val="22"/>
              </w:rPr>
              <w:t>$559M</w:t>
            </w:r>
          </w:p>
        </w:tc>
        <w:tc>
          <w:tcPr>
            <w:tcW w:type="dxa" w:w="1234"/>
          </w:tcPr>
          <w:p>
            <w:r>
              <w:rPr>
                <w:rFonts w:ascii="Calibri" w:hAnsi="Calibri"/>
                <w:sz w:val="22"/>
              </w:rPr>
              <w:t>-1.2% YoY</w:t>
            </w:r>
          </w:p>
        </w:tc>
        <w:tc>
          <w:tcPr>
            <w:tcW w:type="dxa" w:w="1234"/>
          </w:tcPr>
          <w:p>
            <w:r>
              <w:rPr>
                <w:rFonts w:ascii="Calibri" w:hAnsi="Calibri"/>
                <w:sz w:val="22"/>
              </w:rPr>
              <w:t>$700M+ quarterly (long-term target)</w:t>
            </w:r>
          </w:p>
        </w:tc>
        <w:tc>
          <w:tcPr>
            <w:tcW w:type="dxa" w:w="1234"/>
          </w:tcPr>
          <w:p>
            <w:r>
              <w:rPr>
                <w:rFonts w:ascii="Calibri" w:hAnsi="Calibri"/>
                <w:sz w:val="22"/>
              </w:rPr>
              <w:t>-20% below LT target</w:t>
            </w:r>
          </w:p>
        </w:tc>
      </w:tr>
      <w:tr>
        <w:tc>
          <w:tcPr>
            <w:tcW w:type="dxa" w:w="1234"/>
          </w:tcPr>
          <w:p>
            <w:r>
              <w:rPr>
                <w:rFonts w:ascii="Calibri" w:hAnsi="Calibri"/>
                <w:sz w:val="22"/>
              </w:rPr>
              <w:t>Marina Bay Sands EBITDA</w:t>
            </w:r>
          </w:p>
        </w:tc>
        <w:tc>
          <w:tcPr>
            <w:tcW w:type="dxa" w:w="1234"/>
          </w:tcPr>
          <w:p>
            <w:r>
              <w:rPr>
                <w:rFonts w:ascii="Calibri" w:hAnsi="Calibri"/>
                <w:sz w:val="22"/>
              </w:rPr>
              <w:t>$788M</w:t>
            </w:r>
          </w:p>
        </w:tc>
        <w:tc>
          <w:tcPr>
            <w:tcW w:type="dxa" w:w="1234"/>
          </w:tcPr>
          <w:p>
            <w:r>
              <w:rPr>
                <w:rFonts w:ascii="Calibri" w:hAnsi="Calibri"/>
                <w:sz w:val="22"/>
              </w:rPr>
              <w:t>$768M</w:t>
            </w:r>
          </w:p>
        </w:tc>
        <w:tc>
          <w:tcPr>
            <w:tcW w:type="dxa" w:w="1234"/>
          </w:tcPr>
          <w:p>
            <w:r>
              <w:rPr>
                <w:rFonts w:ascii="Calibri" w:hAnsi="Calibri"/>
                <w:sz w:val="22"/>
              </w:rPr>
              <w:t>$728M</w:t>
            </w:r>
          </w:p>
        </w:tc>
        <w:tc>
          <w:tcPr>
            <w:tcW w:type="dxa" w:w="1234"/>
          </w:tcPr>
          <w:p>
            <w:r>
              <w:rPr>
                <w:rFonts w:ascii="Calibri" w:hAnsi="Calibri"/>
                <w:sz w:val="22"/>
              </w:rPr>
              <w:t>-5.2% YoY</w:t>
            </w:r>
          </w:p>
        </w:tc>
        <w:tc>
          <w:tcPr>
            <w:tcW w:type="dxa" w:w="1234"/>
          </w:tcPr>
          <w:p>
            <w:r>
              <w:rPr>
                <w:rFonts w:ascii="Calibri" w:hAnsi="Calibri"/>
                <w:sz w:val="22"/>
              </w:rPr>
              <w:t>~$2.9B+ annually (~$725M/qtr implied)</w:t>
            </w:r>
          </w:p>
        </w:tc>
        <w:tc>
          <w:tcPr>
            <w:tcW w:type="dxa" w:w="1234"/>
          </w:tcPr>
          <w:p>
            <w:r>
              <w:rPr>
                <w:rFonts w:ascii="Calibri" w:hAnsi="Calibri"/>
                <w:sz w:val="22"/>
              </w:rPr>
              <w:t>+0.4% above implied quarterly run-rate</w:t>
            </w:r>
          </w:p>
        </w:tc>
      </w:tr>
      <w:tr>
        <w:tc>
          <w:tcPr>
            <w:tcW w:type="dxa" w:w="1234"/>
          </w:tcPr>
          <w:p>
            <w:r>
              <w:rPr>
                <w:rFonts w:ascii="Calibri" w:hAnsi="Calibri"/>
                <w:sz w:val="22"/>
              </w:rPr>
              <w:t>EPS — Diluted Operating</w:t>
            </w:r>
          </w:p>
        </w:tc>
        <w:tc>
          <w:tcPr>
            <w:tcW w:type="dxa" w:w="1234"/>
          </w:tcPr>
          <w:p>
            <w:r>
              <w:rPr>
                <w:rFonts w:ascii="Calibri" w:hAnsi="Calibri"/>
                <w:sz w:val="22"/>
              </w:rPr>
              <w:t>$0.91</w:t>
            </w:r>
          </w:p>
        </w:tc>
        <w:tc>
          <w:tcPr>
            <w:tcW w:type="dxa" w:w="1234"/>
          </w:tcPr>
          <w:p>
            <w:r>
              <w:rPr>
                <w:rFonts w:ascii="Calibri" w:hAnsi="Calibri"/>
                <w:sz w:val="22"/>
              </w:rPr>
              <w:t>$0.79</w:t>
            </w:r>
          </w:p>
        </w:tc>
        <w:tc>
          <w:tcPr>
            <w:tcW w:type="dxa" w:w="1234"/>
          </w:tcPr>
          <w:p>
            <w:r>
              <w:rPr>
                <w:rFonts w:ascii="Calibri" w:hAnsi="Calibri"/>
                <w:sz w:val="22"/>
              </w:rPr>
              <w:t>$0.75</w:t>
            </w:r>
          </w:p>
        </w:tc>
        <w:tc>
          <w:tcPr>
            <w:tcW w:type="dxa" w:w="1234"/>
          </w:tcPr>
          <w:p>
            <w:r>
              <w:rPr>
                <w:rFonts w:ascii="Calibri" w:hAnsi="Calibri"/>
                <w:sz w:val="22"/>
              </w:rPr>
              <w:t>-5.1%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color w:val="525866"/>
          <w:sz w:val="22"/>
        </w:rPr>
        <w:t>Note: Q2 2026 consensus estimates as of July 21, 2026. YoY change compares Q2 2026 consensus vs. Q2 2025 actual. Macao EBITDA long-term target of $700M+ per quarter stated on Q1 2026 earnings call. MBS annual run-rate target of $2.9B+ per year stated at Bernstein conference (May 27, 2026).</w:t>
      </w:r>
    </w:p>
    <w:p>
      <w:pPr>
        <w:pStyle w:val="Heading3"/>
      </w:pPr>
      <w:r>
        <w:rPr>
          <w:rFonts w:ascii="Calibri" w:hAnsi="Calibri"/>
          <w:b/>
          <w:color w:val="3B4259"/>
          <w:sz w:val="24"/>
        </w:rPr>
        <w:t>Table 2 — Beat/Miss History (Last 8 Quarters, Top 2 KPIs)</w:t>
      </w:r>
    </w:p>
    <w:p>
      <w:r>
        <w:rPr>
          <w:rFonts w:ascii="Calibri" w:hAnsi="Calibri"/>
          <w:color w:val="525866"/>
          <w:sz w:val="22"/>
        </w:rPr>
        <w:t>KPI 1: Macao Operations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$585M</w:t>
            </w:r>
          </w:p>
        </w:tc>
        <w:tc>
          <w:tcPr>
            <w:tcW w:type="dxa" w:w="1728"/>
          </w:tcPr>
          <w:p>
            <w:r>
              <w:rPr>
                <w:rFonts w:ascii="Calibri" w:hAnsi="Calibri"/>
                <w:sz w:val="22"/>
              </w:rPr>
              <w:t>$565M</w:t>
            </w:r>
          </w:p>
        </w:tc>
        <w:tc>
          <w:tcPr>
            <w:tcW w:type="dxa" w:w="1728"/>
          </w:tcPr>
          <w:p>
            <w:r>
              <w:rPr>
                <w:rFonts w:ascii="Calibri" w:hAnsi="Calibri"/>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$571M</w:t>
            </w:r>
          </w:p>
        </w:tc>
        <w:tc>
          <w:tcPr>
            <w:tcW w:type="dxa" w:w="1728"/>
          </w:tcPr>
          <w:p>
            <w:r>
              <w:rPr>
                <w:rFonts w:ascii="Calibri" w:hAnsi="Calibri"/>
                <w:sz w:val="22"/>
              </w:rPr>
              <w:t>$598M</w:t>
            </w:r>
          </w:p>
        </w:tc>
        <w:tc>
          <w:tcPr>
            <w:tcW w:type="dxa" w:w="1728"/>
          </w:tcPr>
          <w:p>
            <w:r>
              <w:rPr>
                <w:rFonts w:ascii="Calibri" w:hAnsi="Calibri"/>
                <w:sz w:val="22"/>
              </w:rPr>
              <w:t>-4.5%</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$535M</w:t>
            </w:r>
          </w:p>
        </w:tc>
        <w:tc>
          <w:tcPr>
            <w:tcW w:type="dxa" w:w="1728"/>
          </w:tcPr>
          <w:p>
            <w:r>
              <w:rPr>
                <w:rFonts w:ascii="Calibri" w:hAnsi="Calibri"/>
                <w:sz w:val="22"/>
              </w:rPr>
              <w:t>$586M</w:t>
            </w:r>
          </w:p>
        </w:tc>
        <w:tc>
          <w:tcPr>
            <w:tcW w:type="dxa" w:w="1728"/>
          </w:tcPr>
          <w:p>
            <w:r>
              <w:rPr>
                <w:rFonts w:ascii="Calibri" w:hAnsi="Calibri"/>
                <w:sz w:val="22"/>
              </w:rPr>
              <w:t>-8.7%</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$566M</w:t>
            </w:r>
          </w:p>
        </w:tc>
        <w:tc>
          <w:tcPr>
            <w:tcW w:type="dxa" w:w="1728"/>
          </w:tcPr>
          <w:p>
            <w:r>
              <w:rPr>
                <w:rFonts w:ascii="Calibri" w:hAnsi="Calibri"/>
                <w:sz w:val="22"/>
              </w:rPr>
              <w:t>$561M</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$601M</w:t>
            </w:r>
          </w:p>
        </w:tc>
        <w:tc>
          <w:tcPr>
            <w:tcW w:type="dxa" w:w="1728"/>
          </w:tcPr>
          <w:p>
            <w:r>
              <w:rPr>
                <w:rFonts w:ascii="Calibri" w:hAnsi="Calibri"/>
                <w:sz w:val="22"/>
              </w:rPr>
              <w:t>$597M</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$608M</w:t>
            </w:r>
          </w:p>
        </w:tc>
        <w:tc>
          <w:tcPr>
            <w:tcW w:type="dxa" w:w="1728"/>
          </w:tcPr>
          <w:p>
            <w:r>
              <w:rPr>
                <w:rFonts w:ascii="Calibri" w:hAnsi="Calibri"/>
                <w:sz w:val="22"/>
              </w:rPr>
              <w:t>$628M</w:t>
            </w:r>
          </w:p>
        </w:tc>
        <w:tc>
          <w:tcPr>
            <w:tcW w:type="dxa" w:w="1728"/>
          </w:tcPr>
          <w:p>
            <w:r>
              <w:rPr>
                <w:rFonts w:ascii="Calibri" w:hAnsi="Calibri"/>
                <w:sz w:val="22"/>
              </w:rPr>
              <w:t>-3.2%</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$633M</w:t>
            </w:r>
          </w:p>
        </w:tc>
        <w:tc>
          <w:tcPr>
            <w:tcW w:type="dxa" w:w="1728"/>
          </w:tcPr>
          <w:p>
            <w:r>
              <w:rPr>
                <w:rFonts w:ascii="Calibri" w:hAnsi="Calibri"/>
                <w:sz w:val="22"/>
              </w:rPr>
              <w:t>$601M</w:t>
            </w:r>
          </w:p>
        </w:tc>
        <w:tc>
          <w:tcPr>
            <w:tcW w:type="dxa" w:w="1728"/>
          </w:tcPr>
          <w:p>
            <w:r>
              <w:rPr>
                <w:rFonts w:ascii="Calibri" w:hAnsi="Calibri"/>
                <w:sz w:val="22"/>
              </w:rPr>
              <w:t>+5.3%</w:t>
            </w:r>
          </w:p>
        </w:tc>
        <w:tc>
          <w:tcPr>
            <w:tcW w:type="dxa" w:w="1728"/>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color w:val="525866"/>
          <w:sz w:val="22"/>
        </w:rPr>
        <w:t>Macao EBITDA beat/miss pattern is mixed — 4 beats and 3 misses over the last 7 reported quarters, with the two largest misses (Q1 2025 at -8.7% and Q4 2024 at -4.5%) occurring when competitive reinvestment pressure was most acute; the Q1 2026 beat of +5.3% was the strongest in the window.</w:t>
      </w:r>
    </w:p>
    <w:p>
      <w:r>
        <w:rPr>
          <w:rFonts w:ascii="Calibri" w:hAnsi="Calibri"/>
          <w:color w:val="525866"/>
          <w:sz w:val="22"/>
        </w:rPr>
        <w:t>KPI 2: Marina Bay Sands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$406M</w:t>
            </w:r>
          </w:p>
        </w:tc>
        <w:tc>
          <w:tcPr>
            <w:tcW w:type="dxa" w:w="1728"/>
          </w:tcPr>
          <w:p>
            <w:r>
              <w:rPr>
                <w:rFonts w:ascii="Calibri" w:hAnsi="Calibri"/>
                <w:sz w:val="22"/>
              </w:rPr>
              <w:t>$496M</w:t>
            </w:r>
          </w:p>
        </w:tc>
        <w:tc>
          <w:tcPr>
            <w:tcW w:type="dxa" w:w="1728"/>
          </w:tcPr>
          <w:p>
            <w:r>
              <w:rPr>
                <w:rFonts w:ascii="Calibri" w:hAnsi="Calibri"/>
                <w:sz w:val="22"/>
              </w:rPr>
              <w:t>-18.1%</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$537M</w:t>
            </w:r>
          </w:p>
        </w:tc>
        <w:tc>
          <w:tcPr>
            <w:tcW w:type="dxa" w:w="1728"/>
          </w:tcPr>
          <w:p>
            <w:r>
              <w:rPr>
                <w:rFonts w:ascii="Calibri" w:hAnsi="Calibri"/>
                <w:sz w:val="22"/>
              </w:rPr>
              <w:t>$499M</w:t>
            </w:r>
          </w:p>
        </w:tc>
        <w:tc>
          <w:tcPr>
            <w:tcW w:type="dxa" w:w="1728"/>
          </w:tcPr>
          <w:p>
            <w:r>
              <w:rPr>
                <w:rFonts w:ascii="Calibri" w:hAnsi="Calibri"/>
                <w:sz w:val="22"/>
              </w:rPr>
              <w:t>+7.6%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$605M</w:t>
            </w:r>
          </w:p>
        </w:tc>
        <w:tc>
          <w:tcPr>
            <w:tcW w:type="dxa" w:w="1728"/>
          </w:tcPr>
          <w:p>
            <w:r>
              <w:rPr>
                <w:rFonts w:ascii="Calibri" w:hAnsi="Calibri"/>
                <w:sz w:val="22"/>
              </w:rPr>
              <w:t>$527M</w:t>
            </w:r>
          </w:p>
        </w:tc>
        <w:tc>
          <w:tcPr>
            <w:tcW w:type="dxa" w:w="1728"/>
          </w:tcPr>
          <w:p>
            <w:r>
              <w:rPr>
                <w:rFonts w:ascii="Calibri" w:hAnsi="Calibri"/>
                <w:sz w:val="22"/>
              </w:rPr>
              <w:t>+14.8%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$768M</w:t>
            </w:r>
          </w:p>
        </w:tc>
        <w:tc>
          <w:tcPr>
            <w:tcW w:type="dxa" w:w="1728"/>
          </w:tcPr>
          <w:p>
            <w:r>
              <w:rPr>
                <w:rFonts w:ascii="Calibri" w:hAnsi="Calibri"/>
                <w:sz w:val="22"/>
              </w:rPr>
              <w:t>$533M</w:t>
            </w:r>
          </w:p>
        </w:tc>
        <w:tc>
          <w:tcPr>
            <w:tcW w:type="dxa" w:w="1728"/>
          </w:tcPr>
          <w:p>
            <w:r>
              <w:rPr>
                <w:rFonts w:ascii="Calibri" w:hAnsi="Calibri"/>
                <w:sz w:val="22"/>
              </w:rPr>
              <w:t>+44.1%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$743M</w:t>
            </w:r>
          </w:p>
        </w:tc>
        <w:tc>
          <w:tcPr>
            <w:tcW w:type="dxa" w:w="1728"/>
          </w:tcPr>
          <w:p>
            <w:r>
              <w:rPr>
                <w:rFonts w:ascii="Calibri" w:hAnsi="Calibri"/>
                <w:sz w:val="22"/>
              </w:rPr>
              <w:t>$607M</w:t>
            </w:r>
          </w:p>
        </w:tc>
        <w:tc>
          <w:tcPr>
            <w:tcW w:type="dxa" w:w="1728"/>
          </w:tcPr>
          <w:p>
            <w:r>
              <w:rPr>
                <w:rFonts w:ascii="Calibri" w:hAnsi="Calibri"/>
                <w:sz w:val="22"/>
              </w:rPr>
              <w:t>+22.4%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$806M</w:t>
            </w:r>
          </w:p>
        </w:tc>
        <w:tc>
          <w:tcPr>
            <w:tcW w:type="dxa" w:w="1728"/>
          </w:tcPr>
          <w:p>
            <w:r>
              <w:rPr>
                <w:rFonts w:ascii="Calibri" w:hAnsi="Calibri"/>
                <w:sz w:val="22"/>
              </w:rPr>
              <w:t>$692M</w:t>
            </w:r>
          </w:p>
        </w:tc>
        <w:tc>
          <w:tcPr>
            <w:tcW w:type="dxa" w:w="1728"/>
          </w:tcPr>
          <w:p>
            <w:r>
              <w:rPr>
                <w:rFonts w:ascii="Calibri" w:hAnsi="Calibri"/>
                <w:sz w:val="22"/>
              </w:rPr>
              <w:t>+16.5%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$788M</w:t>
            </w:r>
          </w:p>
        </w:tc>
        <w:tc>
          <w:tcPr>
            <w:tcW w:type="dxa" w:w="1728"/>
          </w:tcPr>
          <w:p>
            <w:r>
              <w:rPr>
                <w:rFonts w:ascii="Calibri" w:hAnsi="Calibri"/>
                <w:sz w:val="22"/>
              </w:rPr>
              <w:t>$715M</w:t>
            </w:r>
          </w:p>
        </w:tc>
        <w:tc>
          <w:tcPr>
            <w:tcW w:type="dxa" w:w="1728"/>
          </w:tcPr>
          <w:p>
            <w:r>
              <w:rPr>
                <w:rFonts w:ascii="Calibri" w:hAnsi="Calibri"/>
                <w:sz w:val="22"/>
              </w:rPr>
              <w:t>+10.2%</w:t>
            </w:r>
          </w:p>
        </w:tc>
        <w:tc>
          <w:tcPr>
            <w:tcW w:type="dxa" w:w="1728"/>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color w:val="525866"/>
          <w:sz w:val="22"/>
        </w:rPr>
        <w:t>MBS EBITDA has beaten consensus in 6 of the last 7 reported quarters, often by wide margins, driven by VIP rolling volume that consistently surprises to the upside; the sole miss (Q3 2024, -18.1%) was a hold-rate anomaly. The Street has been structurally underestimating Singapore, though the gap has narrowed as estimates have been revised higher.</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 has been issued since the Q1 2026 earnings call (April 22, 2026). Management tone at the May 27 Bernstein conference was constructive and consistent with Q1 messaging — no incremental caution on either market, and the Macao EBITDA ambition of $2.7–2.8B annually was reiterated.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Macao EBITDA (Quarterly LT Target)</w:t>
            </w:r>
          </w:p>
        </w:tc>
        <w:tc>
          <w:tcPr>
            <w:tcW w:type="dxa" w:w="1728"/>
          </w:tcPr>
          <w:p>
            <w:r>
              <w:rPr>
                <w:rFonts w:ascii="Calibri" w:hAnsi="Calibri"/>
                <w:sz w:val="22"/>
              </w:rPr>
              <w:t>$700M+ per quarter (long-term goal)</w:t>
            </w:r>
          </w:p>
        </w:tc>
        <w:tc>
          <w:tcPr>
            <w:tcW w:type="dxa" w:w="1728"/>
          </w:tcPr>
          <w:p>
            <w:r>
              <w:rPr>
                <w:rFonts w:ascii="Calibri" w:hAnsi="Calibri"/>
                <w:sz w:val="22"/>
              </w:rPr>
              <w:t>Unchanged</w:t>
            </w:r>
          </w:p>
        </w:tc>
        <w:tc>
          <w:tcPr>
            <w:tcW w:type="dxa" w:w="1728"/>
          </w:tcPr>
          <w:p>
            <w:r>
              <w:rPr>
                <w:rFonts w:ascii="Calibri" w:hAnsi="Calibri"/>
                <w:sz w:val="22"/>
              </w:rPr>
              <w:t>$559M (Q2 2026E)</w:t>
            </w:r>
          </w:p>
        </w:tc>
        <w:tc>
          <w:tcPr>
            <w:tcW w:type="dxa" w:w="1728"/>
          </w:tcPr>
          <w:p>
            <w:r>
              <w:rPr>
                <w:rFonts w:ascii="Calibri" w:hAnsi="Calibri"/>
                <w:sz w:val="22"/>
              </w:rPr>
              <w:t>Target reiterated at Bernstein conference May 27, 2026; consensus remains well below target, reflecting market skepticism on timeline</w:t>
            </w:r>
          </w:p>
        </w:tc>
      </w:tr>
      <w:tr>
        <w:tc>
          <w:tcPr>
            <w:tcW w:type="dxa" w:w="1728"/>
          </w:tcPr>
          <w:p>
            <w:r>
              <w:rPr>
                <w:rFonts w:ascii="Calibri" w:hAnsi="Calibri"/>
                <w:sz w:val="22"/>
              </w:rPr>
              <w:t>Macao Annual EBITDA Ambition</w:t>
            </w:r>
          </w:p>
        </w:tc>
        <w:tc>
          <w:tcPr>
            <w:tcW w:type="dxa" w:w="1728"/>
          </w:tcPr>
          <w:p>
            <w:r>
              <w:rPr>
                <w:rFonts w:ascii="Calibri" w:hAnsi="Calibri"/>
                <w:sz w:val="22"/>
              </w:rPr>
              <w:t>$2.7B–2.8B annually</w:t>
            </w:r>
          </w:p>
        </w:tc>
        <w:tc>
          <w:tcPr>
            <w:tcW w:type="dxa" w:w="1728"/>
          </w:tcPr>
          <w:p>
            <w:r>
              <w:rPr>
                <w:rFonts w:ascii="Calibri" w:hAnsi="Calibri"/>
                <w:sz w:val="22"/>
              </w:rPr>
              <w:t>Unchanged</w:t>
            </w:r>
          </w:p>
        </w:tc>
        <w:tc>
          <w:tcPr>
            <w:tcW w:type="dxa" w:w="1728"/>
          </w:tcPr>
          <w:p>
            <w:r>
              <w:rPr>
                <w:rFonts w:ascii="Calibri" w:hAnsi="Calibri"/>
                <w:sz w:val="22"/>
              </w:rPr>
              <w:t>$2.46B (FY2026E)</w:t>
            </w:r>
          </w:p>
        </w:tc>
        <w:tc>
          <w:tcPr>
            <w:tcW w:type="dxa" w:w="1728"/>
          </w:tcPr>
          <w:p>
            <w:r>
              <w:rPr>
                <w:rFonts w:ascii="Calibri" w:hAnsi="Calibri"/>
                <w:sz w:val="22"/>
              </w:rPr>
              <w:t>Reiterated at Bernstein May 27, 2026; consensus ~12% below midpoint of management ambition</w:t>
            </w:r>
          </w:p>
        </w:tc>
      </w:tr>
      <w:tr>
        <w:tc>
          <w:tcPr>
            <w:tcW w:type="dxa" w:w="1728"/>
          </w:tcPr>
          <w:p>
            <w:r>
              <w:rPr>
                <w:rFonts w:ascii="Calibri" w:hAnsi="Calibri"/>
                <w:sz w:val="22"/>
              </w:rPr>
              <w:t>Singapore MBS Annual Run-Rate</w:t>
            </w:r>
          </w:p>
        </w:tc>
        <w:tc>
          <w:tcPr>
            <w:tcW w:type="dxa" w:w="1728"/>
          </w:tcPr>
          <w:p>
            <w:r>
              <w:rPr>
                <w:rFonts w:ascii="Calibri" w:hAnsi="Calibri"/>
                <w:sz w:val="22"/>
              </w:rPr>
              <w:t>~$2.9B+ annually (management internal forecast raised)</w:t>
            </w:r>
          </w:p>
        </w:tc>
        <w:tc>
          <w:tcPr>
            <w:tcW w:type="dxa" w:w="1728"/>
          </w:tcPr>
          <w:p>
            <w:r>
              <w:rPr>
                <w:rFonts w:ascii="Calibri" w:hAnsi="Calibri"/>
                <w:sz w:val="22"/>
              </w:rPr>
              <w:t>Unchanged</w:t>
            </w:r>
          </w:p>
        </w:tc>
        <w:tc>
          <w:tcPr>
            <w:tcW w:type="dxa" w:w="1728"/>
          </w:tcPr>
          <w:p>
            <w:r>
              <w:rPr>
                <w:rFonts w:ascii="Calibri" w:hAnsi="Calibri"/>
                <w:sz w:val="22"/>
              </w:rPr>
              <w:t>$3.00B (FY2026E)</w:t>
            </w:r>
          </w:p>
        </w:tc>
        <w:tc>
          <w:tcPr>
            <w:tcW w:type="dxa" w:w="1728"/>
          </w:tcPr>
          <w:p>
            <w:r>
              <w:rPr>
                <w:rFonts w:ascii="Calibri" w:hAnsi="Calibri"/>
                <w:sz w:val="22"/>
              </w:rPr>
              <w:t>Consensus slightly above management's stated $2.9B+ run-rate; reflects continued MBS outperformance trend</w:t>
            </w:r>
          </w:p>
        </w:tc>
      </w:tr>
      <w:tr>
        <w:tc>
          <w:tcPr>
            <w:tcW w:type="dxa" w:w="1728"/>
          </w:tcPr>
          <w:p>
            <w:r>
              <w:rPr>
                <w:rFonts w:ascii="Calibri" w:hAnsi="Calibri"/>
                <w:sz w:val="22"/>
              </w:rPr>
              <w:t>Maintenance CapEx</w:t>
            </w:r>
          </w:p>
        </w:tc>
        <w:tc>
          <w:tcPr>
            <w:tcW w:type="dxa" w:w="1728"/>
          </w:tcPr>
          <w:p>
            <w:r>
              <w:rPr>
                <w:rFonts w:ascii="Calibri" w:hAnsi="Calibri"/>
                <w:sz w:val="22"/>
              </w:rPr>
              <w:t>Increased forecast for both portfolios (non-discretionary ~$500M); raised on Q1 call</w:t>
            </w:r>
          </w:p>
        </w:tc>
        <w:tc>
          <w:tcPr>
            <w:tcW w:type="dxa" w:w="1728"/>
          </w:tcPr>
          <w:p>
            <w:r>
              <w:rPr>
                <w:rFonts w:ascii="Calibri" w:hAnsi="Calibri"/>
                <w:sz w:val="22"/>
              </w:rPr>
              <w:t>Unchanged</w:t>
            </w:r>
          </w:p>
        </w:tc>
        <w:tc>
          <w:tcPr>
            <w:tcW w:type="dxa" w:w="1728"/>
          </w:tcPr>
          <w:p>
            <w:r>
              <w:rPr>
                <w:rFonts w:ascii="Calibri" w:hAnsi="Calibri"/>
                <w:sz w:val="22"/>
              </w:rPr>
              <w:t>N/A — not separately tracked in VA</w:t>
            </w:r>
          </w:p>
        </w:tc>
        <w:tc>
          <w:tcPr>
            <w:tcW w:type="dxa" w:w="1728"/>
          </w:tcPr>
          <w:p>
            <w:r>
              <w:rPr>
                <w:rFonts w:ascii="Calibri" w:hAnsi="Calibri"/>
                <w:sz w:val="22"/>
              </w:rPr>
              <w:t>Reiterated at Bernstein May 27, 2026 as a long-term commitment; management views as non-optional</w:t>
            </w:r>
          </w:p>
        </w:tc>
      </w:tr>
      <w:tr>
        <w:tc>
          <w:tcPr>
            <w:tcW w:type="dxa" w:w="1728"/>
          </w:tcPr>
          <w:p>
            <w:r>
              <w:rPr>
                <w:rFonts w:ascii="Calibri" w:hAnsi="Calibri"/>
                <w:sz w:val="22"/>
              </w:rPr>
              <w:t>Share Repurchases</w:t>
            </w:r>
          </w:p>
        </w:tc>
        <w:tc>
          <w:tcPr>
            <w:tcW w:type="dxa" w:w="1728"/>
          </w:tcPr>
          <w:p>
            <w:r>
              <w:rPr>
                <w:rFonts w:ascii="Calibri" w:hAnsi="Calibri"/>
                <w:sz w:val="22"/>
              </w:rPr>
              <w:t>$740M repurchased in Q1 2026; program ongoing</w:t>
            </w:r>
          </w:p>
        </w:tc>
        <w:tc>
          <w:tcPr>
            <w:tcW w:type="dxa" w:w="1728"/>
          </w:tcPr>
          <w:p>
            <w:r>
              <w:rPr>
                <w:rFonts w:ascii="Calibri" w:hAnsi="Calibri"/>
                <w:sz w:val="22"/>
              </w:rPr>
              <w:t>Unchanged — management stated "buying aggressively" at Bernstein</w:t>
            </w:r>
          </w:p>
        </w:tc>
        <w:tc>
          <w:tcPr>
            <w:tcW w:type="dxa" w:w="1728"/>
          </w:tcPr>
          <w:p>
            <w:r>
              <w:rPr>
                <w:rFonts w:ascii="Calibri" w:hAnsi="Calibri"/>
                <w:sz w:val="22"/>
              </w:rPr>
              <w:t>N/A</w:t>
            </w:r>
          </w:p>
        </w:tc>
        <w:tc>
          <w:tcPr>
            <w:tcW w:type="dxa" w:w="1728"/>
          </w:tcPr>
          <w:p>
            <w:r>
              <w:rPr>
                <w:rFonts w:ascii="Calibri" w:hAnsi="Calibri"/>
                <w:sz w:val="22"/>
              </w:rPr>
              <w:t>Bernstein May 27, 2026: "We've been buying back stock aggressively, and we'll continue to do that"</w:t>
            </w:r>
          </w:p>
        </w:tc>
      </w:tr>
      <w:tr>
        <w:tc>
          <w:tcPr>
            <w:tcW w:type="dxa" w:w="1728"/>
          </w:tcPr>
          <w:p>
            <w:r>
              <w:rPr>
                <w:rFonts w:ascii="Calibri" w:hAnsi="Calibri"/>
                <w:sz w:val="22"/>
              </w:rPr>
              <w:t>Q2 Seasonality Warning</w:t>
            </w:r>
          </w:p>
        </w:tc>
        <w:tc>
          <w:tcPr>
            <w:tcW w:type="dxa" w:w="1728"/>
          </w:tcPr>
          <w:p>
            <w:r>
              <w:rPr>
                <w:rFonts w:ascii="Calibri" w:hAnsi="Calibri"/>
                <w:sz w:val="22"/>
              </w:rPr>
              <w:t>"Q2 is typically our softest" quarter; sequential comparisons vs. Q1 (Chinese New Year) "always tough"</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Stated on Q1 2026 earnings call; key context for interpreting any sequential EBITDA decline in Q2</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FY2026 have been revised down since the Q1 earnings print, with the sharpest cuts coming in the final two weeks before the Q2 report. Macao EBITDA estimates have been cut ~6% from the post-Q1 baseline, while MBS estimates are down ~1% — the divergence reflects growing skepticism on Macao's near-term recovery pace while Singapore remains a relative anchor.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29, 2026)</w:t>
            </w:r>
          </w:p>
        </w:tc>
        <w:tc>
          <w:tcPr>
            <w:tcW w:type="dxa" w:w="1080"/>
            <w:shd w:val="clear" w:color="auto" w:fill="3B4259"/>
          </w:tcPr>
          <w:p>
            <w:r>
              <w:rPr>
                <w:rFonts w:ascii="Calibri" w:hAnsi="Calibri"/>
                <w:b/>
                <w:color w:val="FFFFFF"/>
                <w:sz w:val="22"/>
              </w:rPr>
              <w:t>Current Estimate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EPS — Diluted Operating (Q2 2026)</w:t>
            </w:r>
          </w:p>
        </w:tc>
        <w:tc>
          <w:tcPr>
            <w:tcW w:type="dxa" w:w="1080"/>
          </w:tcPr>
          <w:p>
            <w:r>
              <w:rPr>
                <w:rFonts w:ascii="Calibri" w:hAnsi="Calibri"/>
                <w:sz w:val="22"/>
              </w:rPr>
              <w:t>$0.796</w:t>
            </w:r>
          </w:p>
        </w:tc>
        <w:tc>
          <w:tcPr>
            <w:tcW w:type="dxa" w:w="1080"/>
          </w:tcPr>
          <w:p>
            <w:r>
              <w:rPr>
                <w:rFonts w:ascii="Calibri" w:hAnsi="Calibri"/>
                <w:sz w:val="22"/>
              </w:rPr>
              <w:t>$0.751</w:t>
            </w:r>
          </w:p>
        </w:tc>
        <w:tc>
          <w:tcPr>
            <w:tcW w:type="dxa" w:w="1080"/>
          </w:tcPr>
          <w:p>
            <w:r>
              <w:rPr>
                <w:rFonts w:ascii="Calibri" w:hAnsi="Calibri"/>
                <w:b/>
                <w:color w:val="E5484D"/>
                <w:sz w:val="22"/>
              </w:rPr>
              <w:t>-5.7%</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Operating (FY2026)</w:t>
            </w:r>
          </w:p>
        </w:tc>
        <w:tc>
          <w:tcPr>
            <w:tcW w:type="dxa" w:w="1080"/>
          </w:tcPr>
          <w:p>
            <w:r>
              <w:rPr>
                <w:rFonts w:ascii="Calibri" w:hAnsi="Calibri"/>
                <w:sz w:val="22"/>
              </w:rPr>
              <w:t>$3.368</w:t>
            </w:r>
          </w:p>
        </w:tc>
        <w:tc>
          <w:tcPr>
            <w:tcW w:type="dxa" w:w="1080"/>
          </w:tcPr>
          <w:p>
            <w:r>
              <w:rPr>
                <w:rFonts w:ascii="Calibri" w:hAnsi="Calibri"/>
                <w:sz w:val="22"/>
              </w:rPr>
              <w:t>$3.315</w:t>
            </w:r>
          </w:p>
        </w:tc>
        <w:tc>
          <w:tcPr>
            <w:tcW w:type="dxa" w:w="1080"/>
          </w:tcPr>
          <w:p>
            <w:r>
              <w:rPr>
                <w:rFonts w:ascii="Calibri" w:hAnsi="Calibri"/>
                <w:b/>
                <w:color w:val="E5484D"/>
                <w:sz w:val="22"/>
              </w:rPr>
              <w:t>-1.6%</w:t>
            </w:r>
          </w:p>
        </w:tc>
        <w:tc>
          <w:tcPr>
            <w:tcW w:type="dxa" w:w="1080"/>
          </w:tcPr>
          <w:p>
            <w:r>
              <w:rPr>
                <w:rFonts w:ascii="Calibri" w:hAnsi="Calibri"/>
                <w:sz w:val="22"/>
              </w:rPr>
              <w:t>No annual EPS guidance</w:t>
            </w:r>
          </w:p>
        </w:tc>
        <w:tc>
          <w:tcPr>
            <w:tcW w:type="dxa" w:w="1080"/>
          </w:tcPr>
          <w:p>
            <w:r>
              <w:rPr>
                <w:rFonts w:ascii="Calibri" w:hAnsi="Calibri"/>
                <w:sz w:val="22"/>
              </w:rPr>
              <w:t>No annual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Macao Operations EBITDA (Q2 2026)</w:t>
            </w:r>
          </w:p>
        </w:tc>
        <w:tc>
          <w:tcPr>
            <w:tcW w:type="dxa" w:w="1080"/>
          </w:tcPr>
          <w:p>
            <w:r>
              <w:rPr>
                <w:rFonts w:ascii="Calibri" w:hAnsi="Calibri"/>
                <w:sz w:val="22"/>
              </w:rPr>
              <w:t>$599M</w:t>
            </w:r>
          </w:p>
        </w:tc>
        <w:tc>
          <w:tcPr>
            <w:tcW w:type="dxa" w:w="1080"/>
          </w:tcPr>
          <w:p>
            <w:r>
              <w:rPr>
                <w:rFonts w:ascii="Calibri" w:hAnsi="Calibri"/>
                <w:sz w:val="22"/>
              </w:rPr>
              <w:t>$559M</w:t>
            </w:r>
          </w:p>
        </w:tc>
        <w:tc>
          <w:tcPr>
            <w:tcW w:type="dxa" w:w="1080"/>
          </w:tcPr>
          <w:p>
            <w:r>
              <w:rPr>
                <w:rFonts w:ascii="Calibri" w:hAnsi="Calibri"/>
                <w:b/>
                <w:color w:val="E5484D"/>
                <w:sz w:val="22"/>
              </w:rPr>
              <w:t>-6.7%</w:t>
            </w:r>
          </w:p>
        </w:tc>
        <w:tc>
          <w:tcPr>
            <w:tcW w:type="dxa" w:w="1080"/>
          </w:tcPr>
          <w:p>
            <w:r>
              <w:rPr>
                <w:rFonts w:ascii="Calibri" w:hAnsi="Calibri"/>
                <w:sz w:val="22"/>
              </w:rPr>
              <w:t>$700M+ quarterly (LT target)</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-20.2% below LT target</w:t>
            </w:r>
          </w:p>
        </w:tc>
      </w:tr>
      <w:tr>
        <w:tc>
          <w:tcPr>
            <w:tcW w:type="dxa" w:w="1080"/>
          </w:tcPr>
          <w:p>
            <w:r>
              <w:rPr>
                <w:rFonts w:ascii="Calibri" w:hAnsi="Calibri"/>
                <w:sz w:val="22"/>
              </w:rPr>
              <w:t>Macao Operations EBITDA (FY2026)</w:t>
            </w:r>
          </w:p>
        </w:tc>
        <w:tc>
          <w:tcPr>
            <w:tcW w:type="dxa" w:w="1080"/>
          </w:tcPr>
          <w:p>
            <w:r>
              <w:rPr>
                <w:rFonts w:ascii="Calibri" w:hAnsi="Calibri"/>
                <w:sz w:val="22"/>
              </w:rPr>
              <w:t>$2,516M</w:t>
            </w:r>
          </w:p>
        </w:tc>
        <w:tc>
          <w:tcPr>
            <w:tcW w:type="dxa" w:w="1080"/>
          </w:tcPr>
          <w:p>
            <w:r>
              <w:rPr>
                <w:rFonts w:ascii="Calibri" w:hAnsi="Calibri"/>
                <w:sz w:val="22"/>
              </w:rPr>
              <w:t>$2,457M</w:t>
            </w:r>
          </w:p>
        </w:tc>
        <w:tc>
          <w:tcPr>
            <w:tcW w:type="dxa" w:w="1080"/>
          </w:tcPr>
          <w:p>
            <w:r>
              <w:rPr>
                <w:rFonts w:ascii="Calibri" w:hAnsi="Calibri"/>
                <w:b/>
                <w:color w:val="E5484D"/>
                <w:sz w:val="22"/>
              </w:rPr>
              <w:t>-2.3%</w:t>
            </w:r>
          </w:p>
        </w:tc>
        <w:tc>
          <w:tcPr>
            <w:tcW w:type="dxa" w:w="1080"/>
          </w:tcPr>
          <w:p>
            <w:r>
              <w:rPr>
                <w:rFonts w:ascii="Calibri" w:hAnsi="Calibri"/>
                <w:sz w:val="22"/>
              </w:rPr>
              <w:t>$2,700–2,800M (annual ambition)</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-10.3% below midpoint</w:t>
            </w:r>
          </w:p>
        </w:tc>
      </w:tr>
      <w:tr>
        <w:tc>
          <w:tcPr>
            <w:tcW w:type="dxa" w:w="1080"/>
          </w:tcPr>
          <w:p>
            <w:r>
              <w:rPr>
                <w:rFonts w:ascii="Calibri" w:hAnsi="Calibri"/>
                <w:sz w:val="22"/>
              </w:rPr>
              <w:t>Marina Bay Sands EBITDA (Q2 2026)</w:t>
            </w:r>
          </w:p>
        </w:tc>
        <w:tc>
          <w:tcPr>
            <w:tcW w:type="dxa" w:w="1080"/>
          </w:tcPr>
          <w:p>
            <w:r>
              <w:rPr>
                <w:rFonts w:ascii="Calibri" w:hAnsi="Calibri"/>
                <w:sz w:val="22"/>
              </w:rPr>
              <w:t>$732M</w:t>
            </w:r>
          </w:p>
        </w:tc>
        <w:tc>
          <w:tcPr>
            <w:tcW w:type="dxa" w:w="1080"/>
          </w:tcPr>
          <w:p>
            <w:r>
              <w:rPr>
                <w:rFonts w:ascii="Calibri" w:hAnsi="Calibri"/>
                <w:sz w:val="22"/>
              </w:rPr>
              <w:t>$728M</w:t>
            </w:r>
          </w:p>
        </w:tc>
        <w:tc>
          <w:tcPr>
            <w:tcW w:type="dxa" w:w="1080"/>
          </w:tcPr>
          <w:p>
            <w:r>
              <w:rPr>
                <w:rFonts w:ascii="Calibri" w:hAnsi="Calibri"/>
                <w:sz w:val="22"/>
              </w:rPr>
              <w:t>-0.5%</w:t>
            </w:r>
          </w:p>
        </w:tc>
        <w:tc>
          <w:tcPr>
            <w:tcW w:type="dxa" w:w="1080"/>
          </w:tcPr>
          <w:p>
            <w:r>
              <w:rPr>
                <w:rFonts w:ascii="Calibri" w:hAnsi="Calibri"/>
                <w:sz w:val="22"/>
              </w:rPr>
              <w:t>~$2.9B+ annually (~$725M/qtr implied)</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+0.4% above implied quarterly run-rate</w:t>
            </w:r>
          </w:p>
        </w:tc>
      </w:tr>
      <w:tr>
        <w:tc>
          <w:tcPr>
            <w:tcW w:type="dxa" w:w="1080"/>
          </w:tcPr>
          <w:p>
            <w:r>
              <w:rPr>
                <w:rFonts w:ascii="Calibri" w:hAnsi="Calibri"/>
                <w:sz w:val="22"/>
              </w:rPr>
              <w:t>Marina Bay Sands EBITDA (FY2026)</w:t>
            </w:r>
          </w:p>
        </w:tc>
        <w:tc>
          <w:tcPr>
            <w:tcW w:type="dxa" w:w="1080"/>
          </w:tcPr>
          <w:p>
            <w:r>
              <w:rPr>
                <w:rFonts w:ascii="Calibri" w:hAnsi="Calibri"/>
                <w:sz w:val="22"/>
              </w:rPr>
              <w:t>$3,006M</w:t>
            </w:r>
          </w:p>
        </w:tc>
        <w:tc>
          <w:tcPr>
            <w:tcW w:type="dxa" w:w="1080"/>
          </w:tcPr>
          <w:p>
            <w:r>
              <w:rPr>
                <w:rFonts w:ascii="Calibri" w:hAnsi="Calibri"/>
                <w:sz w:val="22"/>
              </w:rPr>
              <w:t>$3,004M</w:t>
            </w:r>
          </w:p>
        </w:tc>
        <w:tc>
          <w:tcPr>
            <w:tcW w:type="dxa" w:w="1080"/>
          </w:tcPr>
          <w:p>
            <w:r>
              <w:rPr>
                <w:rFonts w:ascii="Calibri" w:hAnsi="Calibri"/>
                <w:sz w:val="22"/>
              </w:rPr>
              <w:t>-0.1%</w:t>
            </w:r>
          </w:p>
        </w:tc>
        <w:tc>
          <w:tcPr>
            <w:tcW w:type="dxa" w:w="1080"/>
          </w:tcPr>
          <w:p>
            <w:r>
              <w:rPr>
                <w:rFonts w:ascii="Calibri" w:hAnsi="Calibri"/>
                <w:sz w:val="22"/>
              </w:rPr>
              <w:t>$2.9B+ annually</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+3.6% above stated target</w:t>
            </w:r>
          </w:p>
        </w:tc>
      </w:tr>
    </w:tbl>
    <w:p>
      <w:r>
        <w:rPr>
          <w:rFonts w:ascii="Calibri" w:hAnsi="Calibri"/>
          <w:i/>
          <w:color w:val="525866"/>
          <w:sz w:val="22"/>
        </w:rPr>
        <w:t xml:space="preserve">Source: Visible Alpha Consensus and Actuals Data. </w:t>
      </w:r>
      <w:r>
        <w:rPr>
          <w:rFonts w:ascii="Calibri" w:hAnsi="Calibri"/>
          <w:color w:val="525866"/>
          <w:sz w:val="22"/>
        </w:rPr>
        <w:t>The most notable revision dynamic is the sharp acceleration of Macao EBITDA cuts in the final two weeks before the print (from ~$595M on July 3 to ~$559M on July 21), suggesting either negative read-throughs from Macao GGR data or broader macro concerns about Chinese consumer spending. MBS estimates have been remarkably stable, consistent with the asset's track record of consistent outperformance. The gap between Macao consensus and management's stated ambition ($2.7–2.8B annually) remains wide at ~10%, representing either a significant execution risk or a meaningful upside opportunity if the investment program gains traction.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LVS has underperformed both the gaming sector ETF (BJK) and the S&amp;P 500 since Q1 earnings, with the decline driven almost entirely by multiple compression rather than estimate cuts — EV/EBITDA contracted from ~9.75x to ~8.26x over three months, suggesting sentiment deterioration beyond what fundamentals alone justify.</w:t>
      </w:r>
    </w:p>
    <w:p>
      <w:r>
        <w:rPr>
          <w:rFonts w:ascii="Calibri" w:hAnsi="Calibri"/>
          <w:color w:val="525866"/>
          <w:sz w:val="22"/>
        </w:rPr>
        <w:t xml:space="preserve">Since the Q1 2026 earnings release on April 22, 2026, LVS has declined approximately </w:t>
      </w:r>
      <w:r>
        <w:rPr>
          <w:rFonts w:ascii="Calibri" w:hAnsi="Calibri"/>
          <w:b/>
          <w:color w:val="525866"/>
          <w:sz w:val="22"/>
        </w:rPr>
        <w:t>-20.1%</w:t>
      </w:r>
      <w:r>
        <w:rPr>
          <w:rFonts w:ascii="Calibri" w:hAnsi="Calibri"/>
          <w:color w:val="525866"/>
          <w:sz w:val="22"/>
        </w:rPr>
        <w:t xml:space="preserve"> (from $56.85 to $45.47 as of July 21, 2026), significantly underperforming the S&amp;P 500 (SPY: +5.2% over the same period, from $711.21 to $748.28) and the VanEck Gaming ETF (BJK: +3.2%, from $37.24 to $38.43). The stock's underperformance is attributable primarily to multiple compression: EV/EBITDA contracted from approximately 9.75x (3 months ago) to 8.26x currently, while NTM EPS estimates declined only modestly (~1.6% for FY2026). Key events during the period include the May 13 completion of the $1B senior notes refinancing (balance sheet management, neutral to slightly positive), the May 27 Bernstein conference (constructive tone, no new guidance), and the broader de-rating of Macao-exposed names amid China macro concerns and a weakening consumer spending backdrop. The stock is now trading at its lowest EV/EBITDA multiple in over a year, which historically has represented an attractive entry point if Macao execution improves.</w:t>
      </w:r>
    </w:p>
    <w:p>
      <w:r>
        <w:rPr>
          <w:rFonts w:ascii="Calibri" w:hAnsi="Calibri"/>
          <w:i/>
          <w:color w:val="525866"/>
          <w:sz w:val="22"/>
        </w:rPr>
        <w:t xml:space="preserve">Source: Stock Price Data (Yahoo Finance). </w:t>
      </w:r>
      <w:r>
        <w:rPr>
          <w:rFonts w:ascii="Calibri" w:hAnsi="Calibri"/>
          <w:color w:val="525866"/>
          <w:sz w:val="22"/>
        </w:rPr>
        <w:t>Indexed performance: LVS = 100 at April 22, 2026 close ($56.85); BJK = 100 at $37.24; SPY = 100 at $711.21. As of July 21, 2026: LVS = 79.9, BJK = 103.2, SPY = 105.2.</w:t>
      </w:r>
    </w:p>
    <w:p>
      <w:pPr>
        <w:pStyle w:val="Heading3"/>
      </w:pPr>
      <w:r>
        <w:rPr>
          <w:rFonts w:ascii="Calibri" w:hAnsi="Calibri"/>
          <w:b/>
          <w:color w:val="3B4259"/>
          <w:sz w:val="24"/>
        </w:rPr>
        <w:t>Valuation Summary (NTM Multiples as of July 21,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Current</w:t>
            </w:r>
          </w:p>
        </w:tc>
        <w:tc>
          <w:tcPr>
            <w:tcW w:type="dxa" w:w="1728"/>
            <w:shd w:val="clear" w:color="auto" w:fill="3B4259"/>
          </w:tcPr>
          <w:p>
            <w:r>
              <w:rPr>
                <w:rFonts w:ascii="Calibri" w:hAnsi="Calibri"/>
                <w:b/>
                <w:color w:val="FFFFFF"/>
                <w:sz w:val="22"/>
              </w:rPr>
              <w:t>3 Months Ago</w:t>
            </w:r>
          </w:p>
        </w:tc>
        <w:tc>
          <w:tcPr>
            <w:tcW w:type="dxa" w:w="1728"/>
            <w:shd w:val="clear" w:color="auto" w:fill="3B4259"/>
          </w:tcPr>
          <w:p>
            <w:r>
              <w:rPr>
                <w:rFonts w:ascii="Calibri" w:hAnsi="Calibri"/>
                <w:b/>
                <w:color w:val="FFFFFF"/>
                <w:sz w:val="22"/>
              </w:rPr>
              <w:t>6 Months Ago</w:t>
            </w:r>
          </w:p>
        </w:tc>
        <w:tc>
          <w:tcPr>
            <w:tcW w:type="dxa" w:w="1728"/>
            <w:shd w:val="clear" w:color="auto" w:fill="3B4259"/>
          </w:tcPr>
          <w:p>
            <w:r>
              <w:rPr>
                <w:rFonts w:ascii="Calibri" w:hAnsi="Calibri"/>
                <w:b/>
                <w:color w:val="FFFFFF"/>
                <w:sz w:val="22"/>
              </w:rPr>
              <w:t>12 Months Ago</w:t>
            </w:r>
          </w:p>
        </w:tc>
      </w:tr>
      <w:tr>
        <w:tc>
          <w:tcPr>
            <w:tcW w:type="dxa" w:w="1728"/>
          </w:tcPr>
          <w:p>
            <w:r>
              <w:rPr>
                <w:rFonts w:ascii="Calibri" w:hAnsi="Calibri"/>
                <w:sz w:val="22"/>
              </w:rPr>
              <w:t>EV / EBITDA (NTM)</w:t>
            </w:r>
          </w:p>
        </w:tc>
        <w:tc>
          <w:tcPr>
            <w:tcW w:type="dxa" w:w="1728"/>
          </w:tcPr>
          <w:p>
            <w:r>
              <w:rPr>
                <w:rFonts w:ascii="Calibri" w:hAnsi="Calibri"/>
                <w:sz w:val="22"/>
              </w:rPr>
              <w:t>8.26x</w:t>
            </w:r>
          </w:p>
        </w:tc>
        <w:tc>
          <w:tcPr>
            <w:tcW w:type="dxa" w:w="1728"/>
          </w:tcPr>
          <w:p>
            <w:r>
              <w:rPr>
                <w:rFonts w:ascii="Calibri" w:hAnsi="Calibri"/>
                <w:sz w:val="22"/>
              </w:rPr>
              <w:t>9.75x</w:t>
            </w:r>
          </w:p>
        </w:tc>
        <w:tc>
          <w:tcPr>
            <w:tcW w:type="dxa" w:w="1728"/>
          </w:tcPr>
          <w:p>
            <w:r>
              <w:rPr>
                <w:rFonts w:ascii="Calibri" w:hAnsi="Calibri"/>
                <w:sz w:val="22"/>
              </w:rPr>
              <w:t>10.57x</w:t>
            </w:r>
          </w:p>
        </w:tc>
        <w:tc>
          <w:tcPr>
            <w:tcW w:type="dxa" w:w="1728"/>
          </w:tcPr>
          <w:p>
            <w:r>
              <w:rPr>
                <w:rFonts w:ascii="Calibri" w:hAnsi="Calibri"/>
                <w:sz w:val="22"/>
              </w:rPr>
              <w:t>10.18x</w:t>
            </w:r>
          </w:p>
        </w:tc>
      </w:tr>
      <w:tr>
        <w:tc>
          <w:tcPr>
            <w:tcW w:type="dxa" w:w="1728"/>
          </w:tcPr>
          <w:p>
            <w:r>
              <w:rPr>
                <w:rFonts w:ascii="Calibri" w:hAnsi="Calibri"/>
                <w:sz w:val="22"/>
              </w:rPr>
              <w:t>P/E (NTM)</w:t>
            </w:r>
          </w:p>
        </w:tc>
        <w:tc>
          <w:tcPr>
            <w:tcW w:type="dxa" w:w="1728"/>
          </w:tcPr>
          <w:p>
            <w:r>
              <w:rPr>
                <w:rFonts w:ascii="Calibri" w:hAnsi="Calibri"/>
                <w:sz w:val="22"/>
              </w:rPr>
              <w:t>13.78x</w:t>
            </w:r>
          </w:p>
        </w:tc>
        <w:tc>
          <w:tcPr>
            <w:tcW w:type="dxa" w:w="1728"/>
          </w:tcPr>
          <w:p>
            <w:r>
              <w:rPr>
                <w:rFonts w:ascii="Calibri" w:hAnsi="Calibri"/>
                <w:sz w:val="22"/>
              </w:rPr>
              <w:t>17.68x</w:t>
            </w:r>
          </w:p>
        </w:tc>
        <w:tc>
          <w:tcPr>
            <w:tcW w:type="dxa" w:w="1728"/>
          </w:tcPr>
          <w:p>
            <w:r>
              <w:rPr>
                <w:rFonts w:ascii="Calibri" w:hAnsi="Calibri"/>
                <w:sz w:val="22"/>
              </w:rPr>
              <w:t>18.95x</w:t>
            </w:r>
          </w:p>
        </w:tc>
        <w:tc>
          <w:tcPr>
            <w:tcW w:type="dxa" w:w="1728"/>
          </w:tcPr>
          <w:p>
            <w:r>
              <w:rPr>
                <w:rFonts w:ascii="Calibri" w:hAnsi="Calibri"/>
                <w:sz w:val="22"/>
              </w:rPr>
              <w:t>19.27x</w:t>
            </w:r>
          </w:p>
        </w:tc>
      </w:tr>
      <w:tr>
        <w:tc>
          <w:tcPr>
            <w:tcW w:type="dxa" w:w="1728"/>
          </w:tcPr>
          <w:p>
            <w:r>
              <w:rPr>
                <w:rFonts w:ascii="Calibri" w:hAnsi="Calibri"/>
                <w:sz w:val="22"/>
              </w:rPr>
              <w:t>P / FCF (NTM)</w:t>
            </w:r>
          </w:p>
        </w:tc>
        <w:tc>
          <w:tcPr>
            <w:tcW w:type="dxa" w:w="1728"/>
          </w:tcPr>
          <w:p>
            <w:r>
              <w:rPr>
                <w:rFonts w:ascii="Calibri" w:hAnsi="Calibri"/>
                <w:sz w:val="22"/>
              </w:rPr>
              <w:t>11.09x</w:t>
            </w:r>
          </w:p>
        </w:tc>
        <w:tc>
          <w:tcPr>
            <w:tcW w:type="dxa" w:w="1728"/>
          </w:tcPr>
          <w:p>
            <w:r>
              <w:rPr>
                <w:rFonts w:ascii="Calibri" w:hAnsi="Calibri"/>
                <w:sz w:val="22"/>
              </w:rPr>
              <w:t>13.04x</w:t>
            </w:r>
          </w:p>
        </w:tc>
        <w:tc>
          <w:tcPr>
            <w:tcW w:type="dxa" w:w="1728"/>
          </w:tcPr>
          <w:p>
            <w:r>
              <w:rPr>
                <w:rFonts w:ascii="Calibri" w:hAnsi="Calibri"/>
                <w:sz w:val="22"/>
              </w:rPr>
              <w:t>15.29x</w:t>
            </w:r>
          </w:p>
        </w:tc>
        <w:tc>
          <w:tcPr>
            <w:tcW w:type="dxa" w:w="1728"/>
          </w:tcPr>
          <w:p>
            <w:r>
              <w:rPr>
                <w:rFonts w:ascii="Calibri" w:hAnsi="Calibri"/>
                <w:sz w:val="22"/>
              </w:rPr>
              <w:t>17.95x</w:t>
            </w:r>
          </w:p>
        </w:tc>
      </w:tr>
      <w:tr>
        <w:tc>
          <w:tcPr>
            <w:tcW w:type="dxa" w:w="1728"/>
          </w:tcPr>
          <w:p>
            <w:r>
              <w:rPr>
                <w:rFonts w:ascii="Calibri" w:hAnsi="Calibri"/>
                <w:sz w:val="22"/>
              </w:rPr>
              <w:t>EV / Sales (NTM)</w:t>
            </w:r>
          </w:p>
        </w:tc>
        <w:tc>
          <w:tcPr>
            <w:tcW w:type="dxa" w:w="1728"/>
          </w:tcPr>
          <w:p>
            <w:r>
              <w:rPr>
                <w:rFonts w:ascii="Calibri" w:hAnsi="Calibri"/>
                <w:sz w:val="22"/>
              </w:rPr>
              <w:t>3.00x</w:t>
            </w:r>
          </w:p>
        </w:tc>
        <w:tc>
          <w:tcPr>
            <w:tcW w:type="dxa" w:w="1728"/>
          </w:tcPr>
          <w:p>
            <w:r>
              <w:rPr>
                <w:rFonts w:ascii="Calibri" w:hAnsi="Calibri"/>
                <w:sz w:val="22"/>
              </w:rPr>
              <w:t>3.61x</w:t>
            </w:r>
          </w:p>
        </w:tc>
        <w:tc>
          <w:tcPr>
            <w:tcW w:type="dxa" w:w="1728"/>
          </w:tcPr>
          <w:p>
            <w:r>
              <w:rPr>
                <w:rFonts w:ascii="Calibri" w:hAnsi="Calibri"/>
                <w:sz w:val="22"/>
              </w:rPr>
              <w:t>4.01x</w:t>
            </w:r>
          </w:p>
        </w:tc>
        <w:tc>
          <w:tcPr>
            <w:tcW w:type="dxa" w:w="1728"/>
          </w:tcPr>
          <w:p>
            <w:r>
              <w:rPr>
                <w:rFonts w:ascii="Calibri" w:hAnsi="Calibri"/>
                <w:sz w:val="22"/>
              </w:rPr>
              <w:t>3.77x</w:t>
            </w:r>
          </w:p>
        </w:tc>
      </w:tr>
    </w:tbl>
    <w:p>
      <w:r>
        <w:rPr>
          <w:rFonts w:ascii="Calibri" w:hAnsi="Calibri"/>
          <w:i/>
          <w:color w:val="525866"/>
          <w:sz w:val="22"/>
        </w:rPr>
        <w:t xml:space="preserve">Source: Stock Performance Decomposition Data (Implied). </w:t>
      </w:r>
      <w:r>
        <w:rPr>
          <w:rFonts w:ascii="Calibri" w:hAnsi="Calibri"/>
          <w:color w:val="525866"/>
          <w:sz w:val="22"/>
        </w:rPr>
        <w:t>EV/EBITDA is the primary valuation metric for LVS given its capital-intensive integrated resort model. The current 8.26x NTM EV/EBITDA represents a ~22% discount to the 6-month-ago level and a ~19% discount to the 12-month-ago level, driven almost entirely by multiple compression rather than estimate cuts.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$1B senior notes refinancing (May 13), which extends the debt maturity profile but at higher rates, and management's confirmation at Bernstein (May 27) that Singapore demand remains unaffected by jet fuel/flight disruptions — a key risk that the market had been pricing in.</w:t>
      </w:r>
    </w:p>
    <w:p>
      <w:pPr>
        <w:pStyle w:val="ListBullet"/>
        <w:ind w:left="360" w:hanging="360"/>
      </w:pPr>
      <w:r>
        <w:rPr>
          <w:rFonts w:ascii="Calibri" w:hAnsi="Calibri"/>
          <w:b/>
          <w:color w:val="525866"/>
          <w:sz w:val="22"/>
        </w:rPr>
        <w:t>May 13, 2026 — LVS Completes $1B Senior Notes Refinancing (8-K):</w:t>
      </w:r>
      <w:r>
        <w:rPr>
          <w:rFonts w:ascii="Calibri" w:hAnsi="Calibri"/>
          <w:color w:val="525866"/>
          <w:sz w:val="22"/>
        </w:rPr>
        <w:t xml:space="preserve"> LVS issued $500M of 5.300% Senior Notes due 2031 and $500M of 5.650% Senior Notes due 2033, using proceeds to redeem $1B of 3.500% Senior Notes due August 2026. </w:t>
      </w:r>
      <w:r>
        <w:rPr>
          <w:rFonts w:ascii="Calibri" w:hAnsi="Calibri"/>
          <w:i/>
          <w:color w:val="525866"/>
          <w:sz w:val="22"/>
        </w:rPr>
        <w:t>Implication:</w:t>
      </w:r>
      <w:r>
        <w:rPr>
          <w:rFonts w:ascii="Calibri" w:hAnsi="Calibri"/>
          <w:color w:val="525866"/>
          <w:sz w:val="22"/>
        </w:rPr>
        <w:t xml:space="preserve"> Proactive balance sheet management removes a near-term maturity risk, but the higher coupon rate (~5.5% blended vs. 3.5% prior) will modestly increase interest expense. Net neutral to slightly positive for credit quality; no impact on operating guidance.</w:t>
      </w:r>
    </w:p>
    <w:p>
      <w:pPr>
        <w:pStyle w:val="ListBullet"/>
        <w:ind w:left="360" w:hanging="360"/>
      </w:pPr>
      <w:r>
        <w:rPr>
          <w:rFonts w:ascii="Calibri" w:hAnsi="Calibri"/>
          <w:b/>
          <w:color w:val="525866"/>
          <w:sz w:val="22"/>
        </w:rPr>
        <w:t>May 27, 2026 — Bernstein Strategic Decisions Conference (CEO Patrick Dumont):</w:t>
      </w:r>
      <w:r>
        <w:rPr>
          <w:rFonts w:ascii="Calibri" w:hAnsi="Calibri"/>
          <w:color w:val="525866"/>
          <w:sz w:val="22"/>
        </w:rPr>
        <w:t xml:space="preserve"> Management reiterated the Macao EBITDA ambition of $2.7–2.8B annually, confirmed the $8B IR2 Singapore expansion is on track (target opening early 2031), and stated there is "nothing to report" regarding any measurable demand impact from jet fuel shortages or flight disruptions on Singapore. </w:t>
      </w:r>
      <w:r>
        <w:rPr>
          <w:rFonts w:ascii="Calibri" w:hAnsi="Calibri"/>
          <w:i/>
          <w:color w:val="525866"/>
          <w:sz w:val="22"/>
        </w:rPr>
        <w:t>Implication:</w:t>
      </w:r>
      <w:r>
        <w:rPr>
          <w:rFonts w:ascii="Calibri" w:hAnsi="Calibri"/>
          <w:color w:val="525866"/>
          <w:sz w:val="22"/>
        </w:rPr>
        <w:t xml:space="preserve"> Removes a key bear case risk for MBS; reinforces management confidence in both markets. Aggressive buyback stance reiterated ("buying as much as we possibly can").</w:t>
      </w:r>
    </w:p>
    <w:p>
      <w:pPr>
        <w:pStyle w:val="ListBullet"/>
        <w:ind w:left="360" w:hanging="360"/>
      </w:pPr>
      <w:r>
        <w:rPr>
          <w:rFonts w:ascii="Calibri" w:hAnsi="Calibri"/>
          <w:b/>
          <w:color w:val="525866"/>
          <w:sz w:val="22"/>
        </w:rPr>
        <w:t>May 18, 2026 — Annual Meeting (8-K):</w:t>
      </w:r>
      <w:r>
        <w:rPr>
          <w:rFonts w:ascii="Calibri" w:hAnsi="Calibri"/>
          <w:color w:val="525866"/>
          <w:sz w:val="22"/>
        </w:rPr>
        <w:t xml:space="preserve"> Shareholders approved directors, auditor, and executive compensation. No material governance changes. Routine event.</w:t>
      </w:r>
    </w:p>
    <w:p>
      <w:pPr>
        <w:pStyle w:val="ListBullet"/>
        <w:ind w:left="360" w:hanging="360"/>
      </w:pPr>
      <w:r>
        <w:rPr>
          <w:rFonts w:ascii="Calibri" w:hAnsi="Calibri"/>
          <w:b/>
          <w:color w:val="525866"/>
          <w:sz w:val="22"/>
        </w:rPr>
        <w:t>July 13–19, 2026 — Sharp Estimate Cuts by Sell-Side:</w:t>
      </w:r>
      <w:r>
        <w:rPr>
          <w:rFonts w:ascii="Calibri" w:hAnsi="Calibri"/>
          <w:color w:val="525866"/>
          <w:sz w:val="22"/>
        </w:rPr>
        <w:t xml:space="preserve"> Visible Alpha consensus data shows Macao EBITDA estimates for Q2 2026 declined from ~$595M (July 3) to ~$559M (July 21), a ~6% cut in under three weeks. Operating EPS estimates fell from $0.799 to $0.751 over the same window. </w:t>
      </w:r>
      <w:r>
        <w:rPr>
          <w:rFonts w:ascii="Calibri" w:hAnsi="Calibri"/>
          <w:i/>
          <w:color w:val="525866"/>
          <w:sz w:val="22"/>
        </w:rPr>
        <w:t>Implication:</w:t>
      </w:r>
      <w:r>
        <w:rPr>
          <w:rFonts w:ascii="Calibri" w:hAnsi="Calibri"/>
          <w:color w:val="525866"/>
          <w:sz w:val="22"/>
        </w:rPr>
        <w:t xml:space="preserve"> Creates a potentially beatable bar if Macao GGR data for Q2 was not as weak as feared, but also signals the Street has negative read-throughs from available data.</w:t>
      </w:r>
    </w:p>
    <w:p>
      <w:pPr>
        <w:pStyle w:val="ListBullet"/>
        <w:ind w:left="360" w:hanging="360"/>
      </w:pPr>
      <w:r>
        <w:rPr>
          <w:rFonts w:ascii="Calibri" w:hAnsi="Calibri"/>
          <w:b/>
          <w:color w:val="525866"/>
          <w:sz w:val="22"/>
        </w:rPr>
        <w:t>July 13, 2026 — MGM Resorts Takeover Bid by Barry Diller's People Inc. ($48.30/share):</w:t>
      </w:r>
      <w:r>
        <w:rPr>
          <w:rFonts w:ascii="Calibri" w:hAnsi="Calibri"/>
          <w:color w:val="525866"/>
          <w:sz w:val="22"/>
        </w:rPr>
        <w:t xml:space="preserve"> MGM is in deal talks with People Inc. at $48.30/share; MGM board believes offer undervalues the company. </w:t>
      </w:r>
      <w:r>
        <w:rPr>
          <w:rFonts w:ascii="Calibri" w:hAnsi="Calibri"/>
          <w:i/>
          <w:color w:val="525866"/>
          <w:sz w:val="22"/>
        </w:rPr>
        <w:t>Implication:</w:t>
      </w:r>
      <w:r>
        <w:rPr>
          <w:rFonts w:ascii="Calibri" w:hAnsi="Calibri"/>
          <w:color w:val="525866"/>
          <w:sz w:val="22"/>
        </w:rPr>
        <w:t xml:space="preserve"> Potential read-through for LVS valuation — if MGM is valued at ~$48.30/share in a takeout, it highlights the discount at which LVS trades relative to private market values for integrated resort assets. Stifel noted Caesars transaction signals MGM could be worth $50–55/share.</w:t>
      </w:r>
    </w:p>
    <w:p>
      <w:pPr>
        <w:pStyle w:val="ListBullet"/>
        <w:ind w:left="360" w:hanging="360"/>
      </w:pPr>
      <w:r>
        <w:rPr>
          <w:rFonts w:ascii="Calibri" w:hAnsi="Calibri"/>
          <w:b/>
          <w:color w:val="525866"/>
          <w:sz w:val="22"/>
        </w:rPr>
        <w:t>July 19, 2026 — MGM BetMGM World Cup Record Performance:</w:t>
      </w:r>
      <w:r>
        <w:rPr>
          <w:rFonts w:ascii="Calibri" w:hAnsi="Calibri"/>
          <w:color w:val="525866"/>
          <w:sz w:val="22"/>
        </w:rPr>
        <w:t xml:space="preserve"> BetMGM reported record-breaking World Cup betting volume, with overall volume tripling vs. 2022 World Cup. </w:t>
      </w:r>
      <w:r>
        <w:rPr>
          <w:rFonts w:ascii="Calibri" w:hAnsi="Calibri"/>
          <w:i/>
          <w:color w:val="525866"/>
          <w:sz w:val="22"/>
        </w:rPr>
        <w:t>Implication:</w:t>
      </w:r>
      <w:r>
        <w:rPr>
          <w:rFonts w:ascii="Calibri" w:hAnsi="Calibri"/>
          <w:color w:val="525866"/>
          <w:sz w:val="22"/>
        </w:rPr>
        <w:t xml:space="preserve"> Limited direct read-through for LVS (no sports betting exposure), but signals strong consumer engagement with gaming-adjacent entertainment in Q2 2026.</w:t>
      </w:r>
    </w:p>
    <w:p>
      <w:pPr>
        <w:pStyle w:val="ListBullet"/>
        <w:ind w:left="360" w:hanging="360"/>
      </w:pPr>
      <w:r>
        <w:rPr>
          <w:rFonts w:ascii="Calibri" w:hAnsi="Calibri"/>
          <w:b/>
          <w:color w:val="525866"/>
          <w:sz w:val="22"/>
        </w:rPr>
        <w:t>July 15, 2026 — Richemont FQ1 (CQ2) Sales +20% on Fixed FX Basis:</w:t>
      </w:r>
      <w:r>
        <w:rPr>
          <w:rFonts w:ascii="Calibri" w:hAnsi="Calibri"/>
          <w:color w:val="525866"/>
          <w:sz w:val="22"/>
        </w:rPr>
        <w:t xml:space="preserve"> Richemont reported very strong Q1 FY27 (calendar Q2 2026) sales growth of +20% on a fixed exchange rate basis, nearly double the Street's +11.1% forecast, with Asia Pacific up +21% and all geographies exceeding expectations. </w:t>
      </w:r>
      <w:r>
        <w:rPr>
          <w:rFonts w:ascii="Calibri" w:hAnsi="Calibri"/>
          <w:i/>
          <w:color w:val="525866"/>
          <w:sz w:val="22"/>
        </w:rPr>
        <w:t>Implication:</w:t>
      </w:r>
      <w:r>
        <w:rPr>
          <w:rFonts w:ascii="Calibri" w:hAnsi="Calibri"/>
          <w:color w:val="525866"/>
          <w:sz w:val="22"/>
        </w:rPr>
        <w:t xml:space="preserve"> Positive read-through for high-end Asian consumer spending in Q2 2026, which is directly relevant to LVS's premium mass and VIP segments in both Macao and Singapore.</w:t>
      </w:r>
    </w:p>
    <w:p>
      <w:pPr>
        <w:pStyle w:val="ListBullet"/>
        <w:ind w:left="360" w:hanging="360"/>
      </w:pPr>
      <w:r>
        <w:rPr>
          <w:rFonts w:ascii="Calibri" w:hAnsi="Calibri"/>
          <w:b/>
          <w:color w:val="525866"/>
          <w:sz w:val="22"/>
        </w:rPr>
        <w:t>July 14, 2026 — China Q2 2026 GDP Growth Slows to 4.3%:</w:t>
      </w:r>
      <w:r>
        <w:rPr>
          <w:rFonts w:ascii="Calibri" w:hAnsi="Calibri"/>
          <w:color w:val="525866"/>
          <w:sz w:val="22"/>
        </w:rPr>
        <w:t xml:space="preserve"> China's economy grew at 4.3% annualized in Q2 2026, the slowest since late 2022 and below the 5% target, though the GDP deflator turned positive for the first time in three years. </w:t>
      </w:r>
      <w:r>
        <w:rPr>
          <w:rFonts w:ascii="Calibri" w:hAnsi="Calibri"/>
          <w:i/>
          <w:color w:val="525866"/>
          <w:sz w:val="22"/>
        </w:rPr>
        <w:t>Implication:</w:t>
      </w:r>
      <w:r>
        <w:rPr>
          <w:rFonts w:ascii="Calibri" w:hAnsi="Calibri"/>
          <w:color w:val="525866"/>
          <w:sz w:val="22"/>
        </w:rPr>
        <w:t xml:space="preserve"> Mixed for LVS — slower growth could weigh on Macao base mass visitation, but the end of deflation and the premium-led recovery thesis (new wealthy customers) may be more resilient than headline GDP suggests.</w:t>
      </w:r>
    </w:p>
    <w:p>
      <w:pPr>
        <w:pStyle w:val="ListBullet"/>
        <w:ind w:left="360" w:hanging="360"/>
      </w:pPr>
      <w:r>
        <w:rPr>
          <w:rFonts w:ascii="Calibri" w:hAnsi="Calibri"/>
          <w:b/>
          <w:color w:val="525866"/>
          <w:sz w:val="22"/>
        </w:rPr>
        <w:t>July 20, 2026 — China Vows to Achieve Full-Year Growth Target:</w:t>
      </w:r>
      <w:r>
        <w:rPr>
          <w:rFonts w:ascii="Calibri" w:hAnsi="Calibri"/>
          <w:color w:val="525866"/>
          <w:sz w:val="22"/>
        </w:rPr>
        <w:t xml:space="preserve"> China's State Council pledged to maximize fiscal spending to meet the full-year growth target after Q2 GDP missed. </w:t>
      </w:r>
      <w:r>
        <w:rPr>
          <w:rFonts w:ascii="Calibri" w:hAnsi="Calibri"/>
          <w:i/>
          <w:color w:val="525866"/>
          <w:sz w:val="22"/>
        </w:rPr>
        <w:t>Implication:</w:t>
      </w:r>
      <w:r>
        <w:rPr>
          <w:rFonts w:ascii="Calibri" w:hAnsi="Calibri"/>
          <w:color w:val="525866"/>
          <w:sz w:val="22"/>
        </w:rPr>
        <w:t xml:space="preserve"> Potential positive for Macao if fiscal stimulus supports consumer confidence, though the transmission to gaming demand is indirect and lagged.</w:t>
      </w:r>
    </w:p>
    <w:p>
      <w:r>
        <w:br w:type="page"/>
      </w:r>
    </w:p>
    <w:p>
      <w:pPr>
        <w:pStyle w:val="Heading2"/>
      </w:pPr>
      <w:r>
        <w:rPr>
          <w:rFonts w:ascii="Calibri" w:hAnsi="Calibri"/>
          <w:b/>
          <w:color w:val="3B4259"/>
          <w:sz w:val="28"/>
        </w:rPr>
        <w:t>7. Peer Commentary / Read-Throughs (Last 60 Days: May 22 – July 21, 2026)</w:t>
      </w:r>
    </w:p>
    <w:p>
      <w:r>
        <w:rPr>
          <w:rFonts w:ascii="Calibri" w:hAnsi="Calibri"/>
          <w:b/>
          <w:color w:val="525866"/>
          <w:sz w:val="22"/>
        </w:rPr>
        <w:t xml:space="preserve">Key Takeaway: </w:t>
      </w:r>
      <w:r>
        <w:rPr>
          <w:rFonts w:ascii="Calibri" w:hAnsi="Calibri"/>
          <w:color w:val="525866"/>
          <w:sz w:val="22"/>
        </w:rPr>
        <w:t>No direct Macao or Singapore peer operating commentary about Q2 2026 (the current reporting quarter) was identified within the qualifying window. The only available peer read-through is an indirect positive signal from Richemont's strong Asia Pacific luxury spending data for calendar Q2 2026. Strict filter applied: only commentary about the current Q2 2026 reporting period is included; prior-quarter results and historical earnings commentary are excluded.</w:t>
      </w:r>
    </w:p>
    <w:p>
      <w:pPr>
        <w:pStyle w:val="Heading3"/>
      </w:pPr>
      <w:r>
        <w:rPr>
          <w:rFonts w:ascii="Calibri" w:hAnsi="Calibri"/>
          <w:b/>
          <w:color w:val="3B4259"/>
          <w:sz w:val="24"/>
        </w:rPr>
        <w:t>Methodology &amp; Filter Applied</w:t>
      </w:r>
    </w:p>
    <w:p>
      <w:r>
        <w:rPr>
          <w:rFonts w:ascii="Calibri" w:hAnsi="Calibri"/>
          <w:color w:val="525866"/>
          <w:sz w:val="22"/>
        </w:rPr>
        <w:t xml:space="preserve">The peer read-through section applies a strict </w:t>
      </w:r>
      <w:r>
        <w:rPr>
          <w:rFonts w:ascii="Calibri" w:hAnsi="Calibri"/>
          <w:b/>
          <w:color w:val="525866"/>
          <w:sz w:val="22"/>
        </w:rPr>
        <w:t>May 22 – July 21, 2026 window</w:t>
      </w:r>
      <w:r>
        <w:rPr>
          <w:rFonts w:ascii="Calibri" w:hAnsi="Calibri"/>
          <w:color w:val="525866"/>
          <w:sz w:val="22"/>
        </w:rPr>
        <w:t xml:space="preserve"> and includes only commentary that speaks to conditions during Q2 2026 (April–June 2026). Excluded: (1) Q1 2026 earnings results from peers (those are prior-quarter results, not current-quarter commentary); (2) any commentary about periods prior to Q2 2026; (3) any commentary that does not have a direct read-through to Macao or Singapore gaming/hospitality demand. The primary peers for LVS are Wynn Resorts (WYNN), MGM Resorts (MGM), Melco Resorts (MLCO), Galaxy Entertainment, Sands China, and Wynn Macau — none of which had reported Q2 2026 results or provided Q2 2026 operating updates within the qualifying window as of July 21, 2026 (most are scheduled to report in late July or early August 2026).</w:t>
      </w:r>
    </w:p>
    <w:p>
      <w:pPr>
        <w:pStyle w:val="Heading3"/>
      </w:pPr>
      <w:r>
        <w:rPr>
          <w:rFonts w:ascii="Calibri" w:hAnsi="Calibri"/>
          <w:b/>
          <w:color w:val="3B4259"/>
          <w:sz w:val="24"/>
        </w:rPr>
        <w:t>Qualifying Read-Throughs Found</w:t>
      </w:r>
    </w:p>
    <w:p>
      <w:pPr>
        <w:pStyle w:val="ListBullet"/>
        <w:ind w:left="360" w:hanging="360"/>
      </w:pPr>
      <w:r>
        <w:rPr>
          <w:rFonts w:ascii="Calibri" w:hAnsi="Calibri"/>
          <w:b/>
          <w:color w:val="525866"/>
          <w:sz w:val="22"/>
        </w:rPr>
        <w:t>July 15, 2026 — Richemont FQ1 (Calendar Q2 2026) — POSITIVE READ-THROUGH:</w:t>
      </w:r>
      <w:r>
        <w:rPr>
          <w:rFonts w:ascii="Calibri" w:hAnsi="Calibri"/>
          <w:color w:val="525866"/>
          <w:sz w:val="22"/>
        </w:rPr>
        <w:t xml:space="preserve"> Richemont reported FQ1 FY27 (calendar Q2 2026, April–June 2026) sales growth of </w:t>
      </w:r>
      <w:r>
        <w:rPr>
          <w:rFonts w:ascii="Calibri" w:hAnsi="Calibri"/>
          <w:b/>
          <w:color w:val="525866"/>
          <w:sz w:val="22"/>
        </w:rPr>
        <w:t>+20% on a fixed exchange rate basis</w:t>
      </w:r>
      <w:r>
        <w:rPr>
          <w:rFonts w:ascii="Calibri" w:hAnsi="Calibri"/>
          <w:color w:val="525866"/>
          <w:sz w:val="22"/>
        </w:rPr>
        <w:t xml:space="preserve">, nearly double the Street's +11.1% forecast. Asia Pacific grew +21%, Japan +36%, Americas +27%. Jewelry was particularly strong at +24% vs. Street expectations of +13.1%. All geographies exceeded expectations. </w:t>
      </w:r>
      <w:r>
        <w:rPr>
          <w:rFonts w:ascii="Calibri" w:hAnsi="Calibri"/>
          <w:i/>
          <w:color w:val="525866"/>
          <w:sz w:val="22"/>
        </w:rPr>
        <w:t>Read-through for LVS:</w:t>
      </w:r>
      <w:r>
        <w:rPr>
          <w:rFonts w:ascii="Calibri" w:hAnsi="Calibri"/>
          <w:color w:val="525866"/>
          <w:sz w:val="22"/>
        </w:rPr>
        <w:t xml:space="preserve"> Richemont's Asia Pacific luxury spending data covers the same April–June 2026 period as LVS's Q2 2026. The significant outperformance in high-end luxury goods spending in Asia Pacific is a positive leading indicator for LVS's premium mass and VIP segments in both Macao and Singapore, as the same affluent Asian consumer base drives both luxury goods purchases and premium gaming. This is the strongest positive data point available for Q2 2026 Asian luxury demand.</w:t>
      </w:r>
    </w:p>
    <w:p>
      <w:pPr>
        <w:pStyle w:val="ListBullet"/>
        <w:ind w:left="360" w:hanging="360"/>
      </w:pPr>
      <w:r>
        <w:rPr>
          <w:rFonts w:ascii="Calibri" w:hAnsi="Calibri"/>
          <w:b/>
          <w:color w:val="525866"/>
          <w:sz w:val="22"/>
        </w:rPr>
        <w:t>July 14, 2026 — Watches of Switzerland (FY26 Results, covering period through April 2026) — CAUTIOUSLY POSITIVE:</w:t>
      </w:r>
      <w:r>
        <w:rPr>
          <w:rFonts w:ascii="Calibri" w:hAnsi="Calibri"/>
          <w:color w:val="525866"/>
          <w:sz w:val="22"/>
        </w:rPr>
        <w:t xml:space="preserve"> Watches of Switzerland reported that US demand remains healthy while observing "encouraging signs of improvement" in the UK. </w:t>
      </w:r>
      <w:r>
        <w:rPr>
          <w:rFonts w:ascii="Calibri" w:hAnsi="Calibri"/>
          <w:i/>
          <w:color w:val="525866"/>
          <w:sz w:val="22"/>
        </w:rPr>
        <w:t>Read-through for LVS:</w:t>
      </w:r>
      <w:r>
        <w:rPr>
          <w:rFonts w:ascii="Calibri" w:hAnsi="Calibri"/>
          <w:color w:val="525866"/>
          <w:sz w:val="22"/>
        </w:rPr>
        <w:t xml:space="preserve"> Limited direct read-through as this covers a different geography and period (through April 2026 rather than full Q2 2026). Noted for completeness but not a primary signal.</w:t>
      </w:r>
    </w:p>
    <w:p>
      <w:pPr>
        <w:pStyle w:val="Heading3"/>
      </w:pPr>
      <w:r>
        <w:rPr>
          <w:rFonts w:ascii="Calibri" w:hAnsi="Calibri"/>
          <w:b/>
          <w:color w:val="3B4259"/>
          <w:sz w:val="24"/>
        </w:rPr>
        <w:t>No Qualifying Direct Peer Operating Commentary Found</w:t>
      </w:r>
    </w:p>
    <w:p>
      <w:r>
        <w:rPr>
          <w:rFonts w:ascii="Calibri" w:hAnsi="Calibri"/>
          <w:color w:val="525866"/>
          <w:sz w:val="22"/>
        </w:rPr>
        <w:t xml:space="preserve">As of July 21, 2026, </w:t>
      </w:r>
      <w:r>
        <w:rPr>
          <w:rFonts w:ascii="Calibri" w:hAnsi="Calibri"/>
          <w:b/>
          <w:color w:val="525866"/>
          <w:sz w:val="22"/>
        </w:rPr>
        <w:t>no direct Macao or Singapore gaming peer had reported Q2 2026 results or provided Q2 2026 operating updates within the May 22 – July 21, 2026 window.</w:t>
      </w:r>
      <w:r>
        <w:rPr>
          <w:rFonts w:ascii="Calibri" w:hAnsi="Calibri"/>
          <w:color w:val="525866"/>
          <w:sz w:val="22"/>
        </w:rPr>
        <w:t xml:space="preserve"> Specifically:</w:t>
      </w:r>
    </w:p>
    <w:p>
      <w:pPr>
        <w:pStyle w:val="ListBullet"/>
        <w:ind w:left="360" w:hanging="360"/>
      </w:pPr>
      <w:r>
        <w:rPr>
          <w:rFonts w:ascii="Calibri" w:hAnsi="Calibri"/>
          <w:b/>
          <w:color w:val="525866"/>
          <w:sz w:val="22"/>
        </w:rPr>
        <w:t>Wynn Resorts (WYNN):</w:t>
      </w:r>
      <w:r>
        <w:rPr>
          <w:rFonts w:ascii="Calibri" w:hAnsi="Calibri"/>
          <w:color w:val="525866"/>
          <w:sz w:val="22"/>
        </w:rPr>
        <w:t xml:space="preserve"> Announced Q2 2026 earnings release date (July 7, 2026 press release) but had not yet reported as of July 21, 2026. No Q2 2026 operating commentary available.</w:t>
      </w:r>
    </w:p>
    <w:p>
      <w:pPr>
        <w:pStyle w:val="ListBullet"/>
        <w:ind w:left="360" w:hanging="360"/>
      </w:pPr>
      <w:r>
        <w:rPr>
          <w:rFonts w:ascii="Calibri" w:hAnsi="Calibri"/>
          <w:b/>
          <w:color w:val="525866"/>
          <w:sz w:val="22"/>
        </w:rPr>
        <w:t>MGM Resorts (MGM):</w:t>
      </w:r>
      <w:r>
        <w:rPr>
          <w:rFonts w:ascii="Calibri" w:hAnsi="Calibri"/>
          <w:color w:val="525866"/>
          <w:sz w:val="22"/>
        </w:rPr>
        <w:t xml:space="preserve"> Announced Q2 2026 earnings release date (June 26, 2026 press release) and BetMGM Q2 2026 update scheduled for July 28, 2026. No Q2 2026 Macao/Singapore operating commentary available. BetMGM World Cup commentary (July 19) relates to North American sports betting, not Macao/Singapore gaming.</w:t>
      </w:r>
    </w:p>
    <w:p>
      <w:pPr>
        <w:pStyle w:val="ListBullet"/>
        <w:ind w:left="360" w:hanging="360"/>
      </w:pPr>
      <w:r>
        <w:rPr>
          <w:rFonts w:ascii="Calibri" w:hAnsi="Calibri"/>
          <w:b/>
          <w:color w:val="525866"/>
          <w:sz w:val="22"/>
        </w:rPr>
        <w:t>Melco Resorts (MLCO), Galaxy Entertainment, Sands China, Wynn Macau:</w:t>
      </w:r>
      <w:r>
        <w:rPr>
          <w:rFonts w:ascii="Calibri" w:hAnsi="Calibri"/>
          <w:color w:val="525866"/>
          <w:sz w:val="22"/>
        </w:rPr>
        <w:t xml:space="preserve"> No Q2 2026 operating commentary or results found within the qualifying window. These companies typically report in late July or August.</w:t>
      </w:r>
    </w:p>
    <w:p>
      <w:pPr>
        <w:pStyle w:val="ListBullet"/>
        <w:ind w:left="360" w:hanging="360"/>
      </w:pPr>
      <w:r>
        <w:rPr>
          <w:rFonts w:ascii="Calibri" w:hAnsi="Calibri"/>
          <w:b/>
          <w:color w:val="525866"/>
          <w:sz w:val="22"/>
        </w:rPr>
        <w:t>Note on MGM Macao:</w:t>
      </w:r>
      <w:r>
        <w:rPr>
          <w:rFonts w:ascii="Calibri" w:hAnsi="Calibri"/>
          <w:color w:val="525866"/>
          <w:sz w:val="22"/>
        </w:rPr>
        <w:t xml:space="preserve"> MGM's Macao operations (MGM China) are a separate listed entity and had not provided Q2 2026 operating updates within the qualifying window.</w:t>
      </w:r>
    </w:p>
    <w:p>
      <w:r>
        <w:rPr>
          <w:rFonts w:ascii="Calibri" w:hAnsi="Calibri"/>
          <w:b/>
          <w:color w:val="525866"/>
          <w:sz w:val="22"/>
        </w:rPr>
        <w:t>Conclusion:</w:t>
      </w:r>
      <w:r>
        <w:rPr>
          <w:rFonts w:ascii="Calibri" w:hAnsi="Calibri"/>
          <w:color w:val="525866"/>
          <w:sz w:val="22"/>
        </w:rPr>
        <w:t xml:space="preserve"> The Richemont data point is the most actionable read-through available, suggesting the high-end Asian consumer remained robust in Q2 2026. Investors should watch for any Wynn Resorts or MGM Resorts Q2 2026 commentary (both reporting in late July) as the most direct peer read-throughs for LVS's Macao and Singapore performance.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insider transaction was identified in the post-Q1 earnings window — a discretionary open-market sale by Director Charles Forman on April 27, 2026. The sale is notable as it occurred immediately after the Q1 earnings beat, but the size (11,400 shares, ~$620K) is modest relative to his remaining holdings (176,428 shares). No open-market buys were identified; the absence of insider buying at a 52-week low is a mild 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(Est.)</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Charles D. Forman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~$620K (11,400 shares)</w:t>
            </w:r>
          </w:p>
        </w:tc>
        <w:tc>
          <w:tcPr>
            <w:tcW w:type="dxa" w:w="1440"/>
          </w:tcPr>
          <w:p>
            <w:r>
              <w:rPr>
                <w:rFonts w:ascii="Calibri" w:hAnsi="Calibri"/>
                <w:sz w:val="22"/>
              </w:rPr>
              <w:t>April 27, 2026</w:t>
            </w:r>
          </w:p>
        </w:tc>
        <w:tc>
          <w:tcPr>
            <w:tcW w:type="dxa" w:w="1440"/>
          </w:tcPr>
          <w:p>
            <w:r>
              <w:rPr>
                <w:rFonts w:ascii="Calibri" w:hAnsi="Calibri"/>
                <w:sz w:val="22"/>
              </w:rPr>
              <w:t>Discretionary sale (no 10b5-1 plan indicated); occurred 5 days after Q1 2026 earnings beat; 176,428 shares remain post-sale (~6% of holdings sold)</w:t>
            </w:r>
          </w:p>
        </w:tc>
      </w:tr>
    </w:tbl>
    <w:p>
      <w:r>
        <w:rPr>
          <w:rFonts w:ascii="Calibri" w:hAnsi="Calibri"/>
          <w:i/>
          <w:color w:val="525866"/>
          <w:sz w:val="22"/>
        </w:rPr>
        <w:t xml:space="preserve">Source: SEC Form 4 Filings Database (Insider Transaction Data). </w:t>
      </w:r>
      <w:r>
        <w:rPr>
          <w:rFonts w:ascii="Calibri" w:hAnsi="Calibri"/>
          <w:color w:val="525866"/>
          <w:sz w:val="22"/>
        </w:rPr>
        <w:t>Window: April 22 – July 21, 2026. Only open-market buys (code P) and open-market sales (code S) included. No 10b5-1 plan initiations were identified for LVS insiders in this window. The company's aggressive share repurchase program ($740M in Q1 2026 alone) represents the most significant capital return signal, though this is a corporate rather than individual insider action.</w:t>
      </w:r>
    </w:p>
    <w:p>
      <w:r>
        <w:br w:type="page"/>
      </w:r>
    </w:p>
    <w:p>
      <w:pPr>
        <w:pStyle w:val="Heading2"/>
      </w:pPr>
      <w:r>
        <w:rPr>
          <w:rFonts w:ascii="Calibri" w:hAnsi="Calibri"/>
          <w:b/>
          <w:color w:val="3B4259"/>
          <w:sz w:val="28"/>
        </w:rPr>
        <w:t>9. Key Questions for the Q2 2026 Earnings Call</w:t>
      </w:r>
    </w:p>
    <w:p>
      <w:r>
        <w:rPr>
          <w:rFonts w:ascii="Calibri" w:hAnsi="Calibri"/>
          <w:b/>
          <w:color w:val="525866"/>
          <w:sz w:val="22"/>
        </w:rPr>
        <w:t xml:space="preserve">Key Takeaway: </w:t>
      </w:r>
      <w:r>
        <w:rPr>
          <w:rFonts w:ascii="Calibri" w:hAnsi="Calibri"/>
          <w:color w:val="525866"/>
          <w:sz w:val="22"/>
        </w:rPr>
        <w:t>The call will be dominated by three debates: (1) whether Macao's Q1 momentum was sustained or reversed in Q2; (2) whether Singapore's extraordinary Q1 rolling volume was a one-time event or a new baseline; and (3) the pace and confidence of the Macao EBITDA recovery toward the $700M quarterly target.</w:t>
      </w:r>
    </w:p>
    <w:p>
      <w:pPr>
        <w:pStyle w:val="ListNumber"/>
        <w:ind w:left="360" w:hanging="360"/>
      </w:pPr>
      <w:r>
        <w:rPr>
          <w:rFonts w:ascii="Calibri" w:hAnsi="Calibri"/>
          <w:b/>
          <w:color w:val="525866"/>
          <w:sz w:val="22"/>
        </w:rPr>
        <w:t>Macao EBITDA Trajectory — Was Q1 a Turning Point or a One-Quarter Anomaly?</w:t>
      </w:r>
      <w:r>
        <w:rPr>
          <w:rFonts w:ascii="Calibri" w:hAnsi="Calibri"/>
          <w:color w:val="525866"/>
          <w:sz w:val="22"/>
        </w:rPr>
        <w:t xml:space="preserve"> Q1 2026 Macao EBITDA of $633M was the strongest in several quarters and beat consensus by 5.3%. Management attributed this to market share gains across every segment, mass market revenue share at its best since Q1 2024, and slot/ETG growth of 31% YoY. The key question is whether this momentum continued into Q2 given the seasonally softer period and ongoing competitive reinvestment pressure. Specifically: did the service investment program (additional hires, new side wagers) drive incremental revenue, or did it primarily add to OpEx without a corresponding revenue offset?</w:t>
      </w:r>
    </w:p>
    <w:p>
      <w:pPr>
        <w:pStyle w:val="ListNumber"/>
        <w:ind w:left="360" w:hanging="360"/>
      </w:pPr>
      <w:r>
        <w:rPr>
          <w:rFonts w:ascii="Calibri" w:hAnsi="Calibri"/>
          <w:b/>
          <w:color w:val="525866"/>
          <w:sz w:val="22"/>
        </w:rPr>
        <w:t>Singapore VIP Rolling Volume — Sustainable or Mean-Reverting?</w:t>
      </w:r>
      <w:r>
        <w:rPr>
          <w:rFonts w:ascii="Calibri" w:hAnsi="Calibri"/>
          <w:color w:val="525866"/>
          <w:sz w:val="22"/>
        </w:rPr>
        <w:t xml:space="preserve"> Q1 2026 saw $18B in rolling volume at MBS, which management described as "extraordinary" and driven by a "barbell" of traditional conservative bettors and side-bet players. Management explicitly cautioned that VIP is "very volatile" and can vary quarter-to-quarter. The question is whether Q2 rolling volume normalized lower (which would explain the ~$60M sequential decline in MBS EBITDA implied by consensus) or remained elevated. Any color on July trends would be particularly valuable.</w:t>
      </w:r>
    </w:p>
    <w:p>
      <w:pPr>
        <w:pStyle w:val="ListNumber"/>
        <w:ind w:left="360" w:hanging="360"/>
      </w:pPr>
      <w:r>
        <w:rPr>
          <w:rFonts w:ascii="Calibri" w:hAnsi="Calibri"/>
          <w:b/>
          <w:color w:val="525866"/>
          <w:sz w:val="22"/>
        </w:rPr>
        <w:t>Macao Margin Outlook — When Does the Investment Cycle Turn to Margin Recovery?</w:t>
      </w:r>
      <w:r>
        <w:rPr>
          <w:rFonts w:ascii="Calibri" w:hAnsi="Calibri"/>
          <w:color w:val="525866"/>
          <w:sz w:val="22"/>
        </w:rPr>
        <w:t xml:space="preserve"> Management has explicitly shifted from margin-focused to EBITDA-focused, accepting lower margins to drive absolute dollar growth. Q1 2026 hold-adjusted Macao margin was 29.6%, down 200bps YoY. The question is: at what revenue level do margins begin to recover, and what is the timeline for the Venetian renovation (rooms coming online in Q3 2026) to contribute incremental high-margin premium capacity?</w:t>
      </w:r>
    </w:p>
    <w:p>
      <w:pPr>
        <w:pStyle w:val="ListNumber"/>
        <w:ind w:left="360" w:hanging="360"/>
      </w:pPr>
      <w:r>
        <w:rPr>
          <w:rFonts w:ascii="Calibri" w:hAnsi="Calibri"/>
          <w:b/>
          <w:color w:val="525866"/>
          <w:sz w:val="22"/>
        </w:rPr>
        <w:t>Share Repurchase Pace — Did Buybacks Accelerate as the Stock Declined?</w:t>
      </w:r>
      <w:r>
        <w:rPr>
          <w:rFonts w:ascii="Calibri" w:hAnsi="Calibri"/>
          <w:color w:val="525866"/>
          <w:sz w:val="22"/>
        </w:rPr>
        <w:t xml:space="preserve"> LVS repurchased $740M of stock in Q1 2026 at an average price likely in the $54–57 range. The stock has since declined to ~$45, which management has characterized as undervalued. The question is whether the buyback pace accelerated in Q2 given the lower price, and what the remaining authorization is. Management's stated view at Bernstein ("buying as much as we possibly can") suggests continued aggression.</w:t>
      </w:r>
    </w:p>
    <w:p>
      <w:pPr>
        <w:pStyle w:val="ListNumber"/>
        <w:ind w:left="360" w:hanging="360"/>
      </w:pPr>
      <w:r>
        <w:rPr>
          <w:rFonts w:ascii="Calibri" w:hAnsi="Calibri"/>
          <w:b/>
          <w:color w:val="525866"/>
          <w:sz w:val="22"/>
        </w:rPr>
        <w:t>IR2 Singapore Construction Update — Any Cost or Timeline Changes?</w:t>
      </w:r>
      <w:r>
        <w:rPr>
          <w:rFonts w:ascii="Calibri" w:hAnsi="Calibri"/>
          <w:color w:val="525866"/>
          <w:sz w:val="22"/>
        </w:rPr>
        <w:t xml:space="preserve"> The $8B IR2 expansion (including $2B land premium) is underway with a target opening in early 2031. Given rising construction costs globally, any update on budget or timeline would be material. Management has stated the project is expected to exceed the 20% return threshold on a total investment basis.</w:t>
      </w:r>
    </w:p>
    <w:p>
      <w:pPr>
        <w:pStyle w:val="ListNumber"/>
        <w:ind w:left="360" w:hanging="360"/>
      </w:pPr>
      <w:r>
        <w:rPr>
          <w:rFonts w:ascii="Calibri" w:hAnsi="Calibri"/>
          <w:b/>
          <w:color w:val="525866"/>
          <w:sz w:val="22"/>
        </w:rPr>
        <w:t>China Macro — Any Measurable Impact from Slower GDP Growth on Macao Visitation?</w:t>
      </w:r>
      <w:r>
        <w:rPr>
          <w:rFonts w:ascii="Calibri" w:hAnsi="Calibri"/>
          <w:color w:val="525866"/>
          <w:sz w:val="22"/>
        </w:rPr>
        <w:t xml:space="preserve"> China Q2 2026 GDP growth slowed to 4.3%, the weakest since late 2022. Management's thesis is that the Macao recovery is "premium-led" with new, younger, wealthier customers who are less sensitive to macro cycles. The question is whether Q2 data supports this thesis or whether base mass visitation showed any softness.</w:t>
      </w:r>
    </w:p>
    <w:p>
      <w:pPr>
        <w:pStyle w:val="ListNumber"/>
        <w:ind w:left="360" w:hanging="360"/>
      </w:pPr>
      <w:r>
        <w:rPr>
          <w:rFonts w:ascii="Calibri" w:hAnsi="Calibri"/>
          <w:b/>
          <w:color w:val="525866"/>
          <w:sz w:val="22"/>
        </w:rPr>
        <w:t>Venetian Renovation — Any Disruption Impact in Q3 2026?</w:t>
      </w:r>
      <w:r>
        <w:rPr>
          <w:rFonts w:ascii="Calibri" w:hAnsi="Calibri"/>
          <w:color w:val="525866"/>
          <w:sz w:val="22"/>
        </w:rPr>
        <w:t xml:space="preserve"> Management stated on the Q1 call that refreshed Venetian rooms would begin coming into service in Q3 2026, with the full renovation targeted for completion by end of 2027. The question is whether the renovation is causing any meaningful room inventory disruption in Q3 2026, and whether the new premium suite product is already attracting higher-value patrons.</w:t>
      </w:r>
    </w:p>
    <w:p>
      <w:r>
        <w:br w:type="page"/>
      </w:r>
    </w:p>
    <w:p>
      <w:pPr>
        <w:pStyle w:val="Heading2"/>
      </w:pPr>
      <w:r>
        <w:rPr>
          <w:rFonts w:ascii="Calibri" w:hAnsi="Calibri"/>
          <w:b/>
          <w:color w:val="3B4259"/>
          <w:sz w:val="28"/>
        </w:rPr>
        <w:t>Appendix: Key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actuals, and revision history. KPIs sourced: Total Revenue, EBITDA – Operating, Macau Operations – EBITDA, Marina Bay Sands – EBITDA, EPS – Diluted – Operating. Revision history window: May 1 – July 21, 2026 (weekly frequency). Point-in-time baseline: April 29, 2026 (5 trading days post Q1 earnings).</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Daily closing prices for LVS, BJK (VanEck Gaming ETF), and SPY (S&amp;P 500 ETF) from April 22 – July 21, 2026.</w:t>
      </w:r>
    </w:p>
    <w:p>
      <w:pPr>
        <w:pStyle w:val="ListBullet"/>
        <w:ind w:left="360" w:hanging="360"/>
      </w:pPr>
      <w:r>
        <w:rPr>
          <w:rFonts w:ascii="Calibri" w:hAnsi="Calibri"/>
          <w:b/>
          <w:color w:val="525866"/>
          <w:sz w:val="22"/>
        </w:rPr>
        <w:t>SEC Form 4 Filings Database</w:t>
      </w:r>
      <w:r>
        <w:rPr>
          <w:rFonts w:ascii="Calibri" w:hAnsi="Calibri"/>
          <w:color w:val="525866"/>
          <w:sz w:val="22"/>
        </w:rPr>
        <w:t xml:space="preserve"> — Insider transaction data for LVS, April 22 – July 21, 2026. Form 4 filing for Charles D. Forman (Director), transaction date April 27, 2026.</w:t>
      </w:r>
    </w:p>
    <w:p>
      <w:pPr>
        <w:pStyle w:val="ListBullet"/>
        <w:ind w:left="360" w:hanging="360"/>
      </w:pPr>
      <w:r>
        <w:rPr>
          <w:rFonts w:ascii="Calibri" w:hAnsi="Calibri"/>
          <w:b/>
          <w:color w:val="525866"/>
          <w:sz w:val="22"/>
        </w:rPr>
        <w:t>LVS Q1 2026 Earnings Call Transcript (April 22, 2026)</w:t>
      </w:r>
      <w:r>
        <w:rPr>
          <w:rFonts w:ascii="Calibri" w:hAnsi="Calibri"/>
          <w:color w:val="525866"/>
          <w:sz w:val="22"/>
        </w:rPr>
        <w:t xml:space="preserve"> — Management guidance, targets, and commentary on Q2 seasonality, Macao EBITDA goal, MBS rolling volume, and capital allocation.</w:t>
      </w:r>
    </w:p>
    <w:p>
      <w:pPr>
        <w:pStyle w:val="ListBullet"/>
        <w:ind w:left="360" w:hanging="360"/>
      </w:pPr>
      <w:r>
        <w:rPr>
          <w:rFonts w:ascii="Calibri" w:hAnsi="Calibri"/>
          <w:b/>
          <w:color w:val="525866"/>
          <w:sz w:val="22"/>
        </w:rPr>
        <w:t>LVS Bernstein Strategic Decisions Conference Transcript (May 27, 2026)</w:t>
      </w:r>
      <w:r>
        <w:rPr>
          <w:rFonts w:ascii="Calibri" w:hAnsi="Calibri"/>
          <w:color w:val="525866"/>
          <w:sz w:val="22"/>
        </w:rPr>
        <w:t xml:space="preserve"> — CEO Patrick Dumont commentary on Singapore demand, Macao ambition, IR2 expansion, buyback program, and new market opportunities.</w:t>
      </w:r>
    </w:p>
    <w:p>
      <w:pPr>
        <w:pStyle w:val="ListBullet"/>
        <w:ind w:left="360" w:hanging="360"/>
      </w:pPr>
      <w:r>
        <w:rPr>
          <w:rFonts w:ascii="Calibri" w:hAnsi="Calibri"/>
          <w:b/>
          <w:color w:val="525866"/>
          <w:sz w:val="22"/>
        </w:rPr>
        <w:t>LVS 8-K (May 13, 2026)</w:t>
      </w:r>
      <w:r>
        <w:rPr>
          <w:rFonts w:ascii="Calibri" w:hAnsi="Calibri"/>
          <w:color w:val="525866"/>
          <w:sz w:val="22"/>
        </w:rPr>
        <w:t xml:space="preserve"> — $1B Senior Notes offering details (5.300% due 2031 and 5.650% due 2033); redemption of 3.500% Senior Notes due August 2026.</w:t>
      </w:r>
    </w:p>
    <w:p>
      <w:pPr>
        <w:pStyle w:val="ListBullet"/>
        <w:ind w:left="360" w:hanging="360"/>
      </w:pPr>
      <w:r>
        <w:rPr>
          <w:rFonts w:ascii="Calibri" w:hAnsi="Calibri"/>
          <w:b/>
          <w:color w:val="525866"/>
          <w:sz w:val="22"/>
        </w:rPr>
        <w:t>Stock Performance Decomposition Data (Implied)</w:t>
      </w:r>
      <w:r>
        <w:rPr>
          <w:rFonts w:ascii="Calibri" w:hAnsi="Calibri"/>
          <w:color w:val="525866"/>
          <w:sz w:val="22"/>
        </w:rPr>
        <w:t xml:space="preserve"> — NTM valuation multiples (EV/EBITDA, P/E, P/FCF, EV/Sales) at current and historical horizons (1M, 3M, 6M, 12M).</w:t>
      </w:r>
    </w:p>
    <w:p>
      <w:pPr>
        <w:pStyle w:val="ListBullet"/>
        <w:ind w:left="360" w:hanging="360"/>
      </w:pPr>
      <w:r>
        <w:rPr>
          <w:rFonts w:ascii="Calibri" w:hAnsi="Calibri"/>
          <w:b/>
          <w:color w:val="525866"/>
          <w:sz w:val="22"/>
        </w:rPr>
        <w:t>Daily News Digest (Implied)</w:t>
      </w:r>
      <w:r>
        <w:rPr>
          <w:rFonts w:ascii="Calibri" w:hAnsi="Calibri"/>
          <w:color w:val="525866"/>
          <w:sz w:val="22"/>
        </w:rPr>
        <w:t xml:space="preserve"> — Peer and macro news including Richemont FQ1 results (July 15, 2026), China Q2 GDP (July 14, 2026), MGM takeover bid (July 13, 2026), and other sector developments.</w:t>
      </w:r>
    </w:p>
    <w:p>
      <w:r>
        <w:rPr>
          <w:rFonts w:ascii="Calibri" w:hAnsi="Calibri"/>
          <w:b/>
          <w:color w:val="525866"/>
          <w:sz w:val="22"/>
        </w:rPr>
        <w:t xml:space="preserve">Disclaimer: </w:t>
      </w:r>
      <w:r>
        <w:rPr>
          <w:rFonts w:ascii="Calibri" w:hAnsi="Calibri"/>
          <w:color w:val="525866"/>
          <w:sz w:val="22"/>
        </w:rPr>
        <w:t>This earnings preview is prepared for informational purposes only and is based on publicly available data and consensus estimates as of July 21, 2026. All consensus figures are sourced from Visible Alpha. Actual results may differ materially from estimates. This document does not constitute investment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