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co-earnings-predictions--2026-07-22"/>
    <w:p>
      <w:pPr>
        <w:pStyle w:val="Heading1"/>
      </w:pPr>
      <w:r>
        <w:t xml:space="preserve">MCO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4.30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4.19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MIS (Ratings) revenue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1.18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1.16B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MCO revenue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2.02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2.00B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diluted EPS (reaffirm/raise?)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16.40</m:t>
              </m:r>
              <m:r>
                <m:rPr>
                  <m:sty m:val="p"/>
                </m:rPr>
                <m:t>–</m:t>
              </m:r>
              <m:r>
                <m:t>17.00</m:t>
              </m:r>
              <m:r>
                <m:rPr>
                  <m:sty m:val="p"/>
                </m:rPr>
                <m:t>(</m:t>
              </m:r>
              <m:r>
                <m:t>r</m:t>
              </m:r>
              <m:r>
                <m:t>e</m:t>
              </m:r>
              <m:r>
                <m:t>a</m:t>
              </m:r>
              <m:r>
                <m:t>f</m:t>
              </m:r>
              <m:r>
                <m:t>f</m:t>
              </m:r>
              <m:r>
                <m:t>i</m:t>
              </m:r>
              <m:r>
                <m:t>r</m:t>
              </m:r>
              <m:r>
                <m:t>m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16.69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MIS revenue growth / H2 issuance tone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~high-single-digit % (~8%, toward low end) vs. cons ~8%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MA ARR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~high-single-digit % (~8–9%) vs. cons ~8%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Base case is a modest EPS beat on MIS operating leverage and cost control, but guidance is only reaffirmed (not raised) into a hawkish Fed-hike debate, renewed Hormuz/Iran volatility, and a known mid-teens sequential issuance decline — so out-period math trims H2 issuance/EPS estimates toward the low end even after the beat. With shares having rallied to ~$519 before fading ~5.5% into the print at a premium multiple, and both ratings peers (MCO/SPGI) selling off hard on 7/21 vs. an up market, the de-rating/positioning signal points to continued downward drift rather than reversal.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2026-07-22T00:26:54Z</dcterms:created>
  <dcterms:modified xsi:type="dcterms:W3CDTF">2026-07-22T00:26:54Z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