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MCO before writing the preview. Let me gather recent filings, transcripts, and news.The Q1 2026 call is the most recent. Let me read the Q1 earnings release and transcript to get guidance and trends.I have detailed Q1 data. Now let me get recent market context, stock price performance, and any recent news.Let me get analyst consensus expectations and recent issuance/credit market color.I now have what I need. Here's my earnings preview.</w:t>
      </w:r>
    </w:p>
    <w:p>
      <w:r>
        <w:pict>
          <v:rect style="width:0;height:1.5pt" o:hralign="center" o:hrstd="t" o:hr="t"/>
        </w:pict>
      </w:r>
    </w:p>
    <w:bookmarkStart w:id="22" w:name="X7635cecdf4955baeb3c371ad5acf91059883e12"/>
    <w:p>
      <w:pPr>
        <w:pStyle w:val="Heading1"/>
      </w:pPr>
      <w:r>
        <w:t xml:space="preserve">Moody's Corporation (MCO) — Q2 2026 Earnings Preview</w:t>
      </w:r>
    </w:p>
    <w:bookmarkStart w:id="9" w:name="X4fd887d07f7c0dda8f1533cce46afe953a5d506"/>
    <w:p>
      <w:pPr>
        <w:pStyle w:val="Heading3"/>
      </w:pPr>
      <w:r>
        <w:t xml:space="preserve">Report: Wednesday, July 22, 2026 (before open); call 9:00 a.m. ET</w:t>
      </w:r>
    </w:p>
    <w:bookmarkEnd w:id="9"/>
    <w:bookmarkStart w:id="10" w:name="the-setup-in-one-line"/>
    <w:p>
      <w:pPr>
        <w:pStyle w:val="Heading2"/>
      </w:pPr>
      <w:r>
        <w:t xml:space="preserve">The setup in one line</w:t>
      </w:r>
    </w:p>
    <w:p>
      <w:pPr>
        <w:pStyle w:val="FirstParagraph"/>
      </w:pPr>
      <w:r>
        <w:t xml:space="preserve">Moody's enters its Q2 print having reaffirmed full-year guidance in April on the back of a record Q1, but into a materially different macro tape than management modeled three months ago — one where the debate has shifted from Fed</w:t>
      </w:r>
      <w:r>
        <w:t xml:space="preserve"> </w:t>
      </w:r>
      <w:r>
        <w:rPr>
          <w:i/>
          <w:iCs/>
        </w:rPr>
        <w:t xml:space="preserve">cuts</w:t>
      </w:r>
      <w:r>
        <w:t xml:space="preserve"> </w:t>
      </w:r>
      <w:r>
        <w:t xml:space="preserve">to potential Fed</w:t>
      </w:r>
      <w:r>
        <w:t xml:space="preserve"> </w:t>
      </w:r>
      <w:r>
        <w:rPr>
          <w:i/>
          <w:iCs/>
        </w:rPr>
        <w:t xml:space="preserve">hikes</w:t>
      </w:r>
      <w:r>
        <w:t xml:space="preserve">, and where geopolitical volatility (renewed Iran conflict, Strait of Hormuz shipping attacks) has flared again. The question for this quarter is whether the ratings issuance recovery management is counting on actually showed up in May–June, or whether the year is drifting toward the low end of the range.</w:t>
      </w:r>
    </w:p>
    <w:p>
      <w:r>
        <w:pict>
          <v:rect style="width:0;height:1.5pt" o:hralign="center" o:hrstd="t" o:hr="t"/>
        </w:pict>
      </w:r>
    </w:p>
    <w:bookmarkEnd w:id="10"/>
    <w:bookmarkStart w:id="11" w:name="what-the-street-expects"/>
    <w:p>
      <w:pPr>
        <w:pStyle w:val="Heading2"/>
      </w:pPr>
      <w:r>
        <w:t xml:space="preserve">What the Street expects</w:t>
      </w:r>
    </w:p>
    <w:p>
      <w:pPr>
        <w:pStyle w:val="Compact"/>
        <w:numPr>
          <w:ilvl w:val="0"/>
          <w:numId w:val="1001"/>
        </w:numPr>
      </w:pPr>
      <w:r>
        <w:rPr>
          <w:b/>
          <w:bCs/>
        </w:rPr>
        <w:t xml:space="preserve">Q2 adjusted diluted EPS consensus: ~</w:t>
      </w:r>
      <m:oMath>
        <m:r>
          <m:t>4.19</m:t>
        </m:r>
        <m:r>
          <m:rPr>
            <m:sty m:val="p"/>
          </m:rPr>
          <m:t>*</m:t>
        </m:r>
        <m:r>
          <m:rPr>
            <m:sty m:val="p"/>
          </m:rPr>
          <m:t>*</m:t>
        </m:r>
        <m:r>
          <m:rPr>
            <m:sty m:val="p"/>
          </m:rPr>
          <m:t>,</m:t>
        </m:r>
        <m:r>
          <m:t>u</m:t>
        </m:r>
        <m:r>
          <m:t>p</m:t>
        </m:r>
        <m:r>
          <m:t> </m:t>
        </m:r>
        <m:r>
          <m:t>18</m:t>
        </m:r>
      </m:oMath>
      <w:r>
        <w:rPr>
          <w:b/>
          <w:bCs/>
        </w:rPr>
        <w:t xml:space="preserve">4.15–$4.30</w:t>
      </w:r>
      <w:r>
        <w:t xml:space="preserve">.</w:t>
      </w:r>
    </w:p>
    <w:p>
      <w:pPr>
        <w:pStyle w:val="Compact"/>
        <w:numPr>
          <w:ilvl w:val="0"/>
          <w:numId w:val="1001"/>
        </w:numPr>
      </w:pPr>
      <w:r>
        <w:rPr>
          <w:b/>
          <w:bCs/>
        </w:rPr>
        <w:t xml:space="preserve">Full-year 2026 adjusted EPS consensus: ~</w:t>
      </w:r>
      <m:oMath>
        <m:r>
          <m:t>16.69</m:t>
        </m:r>
        <m:r>
          <m:rPr>
            <m:sty m:val="p"/>
          </m:rPr>
          <m:t>*</m:t>
        </m:r>
        <m:r>
          <m:rPr>
            <m:sty m:val="p"/>
          </m:rPr>
          <m:t>*</m:t>
        </m:r>
        <m:r>
          <m:rPr>
            <m:sty m:val="p"/>
          </m:rPr>
          <m:t>,</m:t>
        </m:r>
        <m:r>
          <m:t>c</m:t>
        </m:r>
        <m:r>
          <m:t>o</m:t>
        </m:r>
        <m:r>
          <m:t>m</m:t>
        </m:r>
        <m:r>
          <m:t>f</m:t>
        </m:r>
        <m:r>
          <m:t>o</m:t>
        </m:r>
        <m:r>
          <m:t>r</m:t>
        </m:r>
        <m:r>
          <m:t>t</m:t>
        </m:r>
        <m:r>
          <m:t>a</m:t>
        </m:r>
        <m:r>
          <m:t>b</m:t>
        </m:r>
        <m:r>
          <m:t>l</m:t>
        </m:r>
        <m:r>
          <m:t>y</m:t>
        </m:r>
        <m:r>
          <m:t>i</m:t>
        </m:r>
        <m:r>
          <m:t>n</m:t>
        </m:r>
        <m:r>
          <m:t>s</m:t>
        </m:r>
        <m:r>
          <m:t>i</m:t>
        </m:r>
        <m:r>
          <m:t>d</m:t>
        </m:r>
        <m:r>
          <m:t>e</m:t>
        </m:r>
        <m:r>
          <m:t>t</m:t>
        </m:r>
        <m:r>
          <m:t>h</m:t>
        </m:r>
        <m:r>
          <m:t>e</m:t>
        </m:r>
        <m:r>
          <m:t>r</m:t>
        </m:r>
        <m:r>
          <m:t>e</m:t>
        </m:r>
        <m:r>
          <m:t>a</m:t>
        </m:r>
        <m:r>
          <m:t>f</m:t>
        </m:r>
        <m:r>
          <m:t>f</m:t>
        </m:r>
        <m:r>
          <m:t>i</m:t>
        </m:r>
        <m:r>
          <m:t>r</m:t>
        </m:r>
        <m:r>
          <m:t>m</m:t>
        </m:r>
        <m:r>
          <m:t>e</m:t>
        </m:r>
        <m:r>
          <m:t>d</m:t>
        </m:r>
        <m:r>
          <m:t>g</m:t>
        </m:r>
        <m:r>
          <m:t>u</m:t>
        </m:r>
        <m:r>
          <m:t>i</m:t>
        </m:r>
        <m:r>
          <m:t>d</m:t>
        </m:r>
        <m:r>
          <m:t>a</m:t>
        </m:r>
        <m:r>
          <m:t>n</m:t>
        </m:r>
        <m:r>
          <m:t>c</m:t>
        </m:r>
        <m:r>
          <m:t>e</m:t>
        </m:r>
        <m:r>
          <m:t>r</m:t>
        </m:r>
        <m:r>
          <m:t>a</m:t>
        </m:r>
        <m:r>
          <m:t>n</m:t>
        </m:r>
        <m:r>
          <m:t>g</m:t>
        </m:r>
        <m:r>
          <m:t>e</m:t>
        </m:r>
        <m:r>
          <m:t>o</m:t>
        </m:r>
        <m:r>
          <m:t>f</m:t>
        </m:r>
        <m:r>
          <m:rPr>
            <m:sty m:val="p"/>
          </m:rPr>
          <m:t>*</m:t>
        </m:r>
        <m:r>
          <m:rPr>
            <m:sty m:val="p"/>
          </m:rPr>
          <m:t>*</m:t>
        </m:r>
      </m:oMath>
      <w:r>
        <w:rPr>
          <w:b/>
          <w:bCs/>
        </w:rPr>
        <w:t xml:space="preserve">16.40–$17.00</w:t>
      </w:r>
      <w:r>
        <w:t xml:space="preserve"> </w:t>
      </w:r>
      <w:r>
        <w:t xml:space="preserve">(FY25 was $14.94).</w:t>
      </w:r>
    </w:p>
    <w:p>
      <w:pPr>
        <w:pStyle w:val="Compact"/>
        <w:numPr>
          <w:ilvl w:val="0"/>
          <w:numId w:val="1001"/>
        </w:numPr>
      </w:pPr>
      <w:r>
        <w:t xml:space="preserve">MCO has beaten EPS estimates in each of the last four quarters, so the bar is really about</w:t>
      </w:r>
      <w:r>
        <w:t xml:space="preserve"> </w:t>
      </w:r>
      <w:r>
        <w:rPr>
          <w:i/>
          <w:iCs/>
        </w:rPr>
        <w:t xml:space="preserve">guidance direction</w:t>
      </w:r>
      <w:r>
        <w:t xml:space="preserve">, not the Q2 number itself.</w:t>
      </w:r>
    </w:p>
    <w:bookmarkEnd w:id="11"/>
    <w:bookmarkStart w:id="12" w:name="Xe114213f3b511bc65d2b26b7bd7e18aa729fee6"/>
    <w:p>
      <w:pPr>
        <w:pStyle w:val="Heading2"/>
      </w:pPr>
      <w:r>
        <w:t xml:space="preserve">Guidance framework going in (as of April 22)</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FY26 Guidance</w:t>
            </w:r>
          </w:p>
        </w:tc>
      </w:tr>
      <w:tr>
        <w:tc>
          <w:tcPr/>
          <w:p>
            <w:pPr>
              <w:pStyle w:val="Compact"/>
            </w:pPr>
            <w:r>
              <w:t xml:space="preserve">MCO revenue growth</w:t>
            </w:r>
          </w:p>
        </w:tc>
        <w:tc>
          <w:tcPr/>
          <w:p>
            <w:pPr>
              <w:pStyle w:val="Compact"/>
            </w:pPr>
            <w:r>
              <w:t xml:space="preserve">High-single-digit % (toward</w:t>
            </w:r>
            <w:r>
              <w:t xml:space="preserve"> </w:t>
            </w:r>
            <w:r>
              <w:rPr>
                <w:b/>
                <w:bCs/>
              </w:rPr>
              <w:t xml:space="preserve">low end</w:t>
            </w:r>
            <w:r>
              <w:t xml:space="preserve"> </w:t>
            </w:r>
            <w:r>
              <w:t xml:space="preserve">after Regulatory Solutions divestiture)</w:t>
            </w:r>
          </w:p>
        </w:tc>
      </w:tr>
      <w:tr>
        <w:tc>
          <w:tcPr/>
          <w:p>
            <w:pPr>
              <w:pStyle w:val="Compact"/>
            </w:pPr>
            <w:r>
              <w:t xml:space="preserve">Adjusted operating margin</w:t>
            </w:r>
          </w:p>
        </w:tc>
        <w:tc>
          <w:tcPr/>
          <w:p>
            <w:pPr>
              <w:pStyle w:val="Compact"/>
            </w:pPr>
            <w:r>
              <w:t xml:space="preserve">52%–53%</w:t>
            </w:r>
          </w:p>
        </w:tc>
      </w:tr>
      <w:tr>
        <w:tc>
          <w:tcPr/>
          <w:p>
            <w:pPr>
              <w:pStyle w:val="Compact"/>
            </w:pPr>
            <w:r>
              <w:t xml:space="preserve">Adjusted diluted EPS</w:t>
            </w:r>
          </w:p>
        </w:tc>
        <w:tc>
          <w:tcPr/>
          <w:p>
            <w:pPr>
              <w:pStyle w:val="Compact"/>
            </w:pPr>
            <m:oMath>
              <m:r>
                <m:t>16.40</m:t>
              </m:r>
              <m:r>
                <m:rPr>
                  <m:sty m:val="p"/>
                </m:rPr>
                <m:t>–</m:t>
              </m:r>
            </m:oMath>
            <w:r>
              <w:t xml:space="preserve">17.00</w:t>
            </w:r>
          </w:p>
        </w:tc>
      </w:tr>
      <w:tr>
        <w:tc>
          <w:tcPr/>
          <w:p>
            <w:pPr>
              <w:pStyle w:val="Compact"/>
            </w:pPr>
            <w:r>
              <w:t xml:space="preserve">MIS revenue growth</w:t>
            </w:r>
          </w:p>
        </w:tc>
        <w:tc>
          <w:tcPr/>
          <w:p>
            <w:pPr>
              <w:pStyle w:val="Compact"/>
            </w:pPr>
            <w:r>
              <w:t xml:space="preserve">High-single-digit %</w:t>
            </w:r>
          </w:p>
        </w:tc>
      </w:tr>
      <w:tr>
        <w:tc>
          <w:tcPr/>
          <w:p>
            <w:pPr>
              <w:pStyle w:val="Compact"/>
            </w:pPr>
            <w:r>
              <w:t xml:space="preserve">MIS adjusted op margin</w:t>
            </w:r>
          </w:p>
        </w:tc>
        <w:tc>
          <w:tcPr/>
          <w:p>
            <w:pPr>
              <w:pStyle w:val="Compact"/>
            </w:pPr>
            <w:r>
              <w:t xml:space="preserve">~65%</w:t>
            </w:r>
          </w:p>
        </w:tc>
      </w:tr>
      <w:tr>
        <w:tc>
          <w:tcPr/>
          <w:p>
            <w:pPr>
              <w:pStyle w:val="Compact"/>
            </w:pPr>
            <w:r>
              <w:t xml:space="preserve">MA revenue growth</w:t>
            </w:r>
          </w:p>
        </w:tc>
        <w:tc>
          <w:tcPr/>
          <w:p>
            <w:pPr>
              <w:pStyle w:val="Compact"/>
            </w:pPr>
            <w:r>
              <w:t xml:space="preserve">Mid-single-digit (organic CC: high-single-digit); ARR high-single-digit</w:t>
            </w:r>
          </w:p>
        </w:tc>
      </w:tr>
      <w:tr>
        <w:tc>
          <w:tcPr/>
          <w:p>
            <w:pPr>
              <w:pStyle w:val="Compact"/>
            </w:pPr>
            <w:r>
              <w:t xml:space="preserve">MA adjusted op margin</w:t>
            </w:r>
          </w:p>
        </w:tc>
        <w:tc>
          <w:tcPr/>
          <w:p>
            <w:pPr>
              <w:pStyle w:val="Compact"/>
            </w:pPr>
            <w:r>
              <w:t xml:space="preserve">34%–35%</w:t>
            </w:r>
          </w:p>
        </w:tc>
      </w:tr>
      <w:tr>
        <w:tc>
          <w:tcPr/>
          <w:p>
            <w:pPr>
              <w:pStyle w:val="Compact"/>
            </w:pPr>
            <w:r>
              <w:t xml:space="preserve">Free cash flow</w:t>
            </w:r>
          </w:p>
        </w:tc>
        <w:tc>
          <w:tcPr/>
          <w:p>
            <w:pPr>
              <w:pStyle w:val="Compact"/>
            </w:pPr>
            <m:oMath>
              <m:r>
                <m:t>2.8</m:t>
              </m:r>
              <m:r>
                <m:rPr>
                  <m:sty m:val="p"/>
                </m:rPr>
                <m:t>–</m:t>
              </m:r>
            </m:oMath>
            <w:r>
              <w:t xml:space="preserve">3.0B</w:t>
            </w:r>
          </w:p>
        </w:tc>
      </w:tr>
      <w:tr>
        <w:tc>
          <w:tcPr/>
          <w:p>
            <w:pPr>
              <w:pStyle w:val="Compact"/>
            </w:pPr>
            <w:r>
              <w:t xml:space="preserve">Share repurchases</w:t>
            </w:r>
          </w:p>
        </w:tc>
        <w:tc>
          <w:tcPr/>
          <w:p>
            <w:pPr>
              <w:pStyle w:val="Compact"/>
            </w:pPr>
            <w:r>
              <w:t xml:space="preserve">~$2.5B (raised $500M in Q1)</w:t>
            </w:r>
          </w:p>
        </w:tc>
      </w:tr>
    </w:tbl>
    <w:p>
      <w:pPr>
        <w:pStyle w:val="BodyText"/>
      </w:pPr>
      <w:r>
        <w:rPr>
          <w:b/>
          <w:bCs/>
        </w:rPr>
        <w:t xml:space="preserve">Management's own Q2 roadmap</w:t>
      </w:r>
      <w:r>
        <w:t xml:space="preserve"> </w:t>
      </w:r>
      <w:r>
        <w:t xml:space="preserve">(from the Q1 call, worth holding them to):</w:t>
      </w:r>
    </w:p>
    <w:p>
      <w:pPr>
        <w:pStyle w:val="Compact"/>
        <w:numPr>
          <w:ilvl w:val="0"/>
          <w:numId w:val="1002"/>
        </w:numPr>
      </w:pPr>
      <w:r>
        <w:t xml:space="preserve">MIS revenue growth of</w:t>
      </w:r>
      <w:r>
        <w:t xml:space="preserve"> </w:t>
      </w:r>
      <w:r>
        <w:rPr>
          <w:b/>
          <w:bCs/>
        </w:rPr>
        <w:t xml:space="preserve">low-to-mid teens</w:t>
      </w:r>
      <w:r>
        <w:t xml:space="preserve"> </w:t>
      </w:r>
      <w:r>
        <w:t xml:space="preserve">in Q2</w:t>
      </w:r>
    </w:p>
    <w:p>
      <w:pPr>
        <w:pStyle w:val="Compact"/>
        <w:numPr>
          <w:ilvl w:val="0"/>
          <w:numId w:val="1002"/>
        </w:numPr>
      </w:pPr>
      <w:r>
        <w:t xml:space="preserve">MCO adjusted op margin</w:t>
      </w:r>
      <w:r>
        <w:t xml:space="preserve"> </w:t>
      </w:r>
      <w:r>
        <w:rPr>
          <w:b/>
          <w:bCs/>
        </w:rPr>
        <w:t xml:space="preserve">above the midpoint</w:t>
      </w:r>
      <w:r>
        <w:t xml:space="preserve"> </w:t>
      </w:r>
      <w:r>
        <w:t xml:space="preserve">of the full-year range in Q2 and Q3</w:t>
      </w:r>
    </w:p>
    <w:p>
      <w:pPr>
        <w:pStyle w:val="Compact"/>
        <w:numPr>
          <w:ilvl w:val="0"/>
          <w:numId w:val="1002"/>
        </w:numPr>
      </w:pPr>
      <w:r>
        <w:t xml:space="preserve">Q2 expenses</w:t>
      </w:r>
      <w:r>
        <w:t xml:space="preserve"> </w:t>
      </w:r>
      <w:r>
        <w:rPr>
          <w:b/>
          <w:bCs/>
        </w:rPr>
        <w:t xml:space="preserve">broadly in line with Q1</w:t>
      </w:r>
      <w:r>
        <w:t xml:space="preserve">; tax rate at the</w:t>
      </w:r>
      <w:r>
        <w:t xml:space="preserve"> </w:t>
      </w:r>
      <w:r>
        <w:rPr>
          <w:b/>
          <w:bCs/>
        </w:rPr>
        <w:t xml:space="preserve">high end</w:t>
      </w:r>
      <w:r>
        <w:t xml:space="preserve"> </w:t>
      </w:r>
      <w:r>
        <w:t xml:space="preserve">of the 23–25% range</w:t>
      </w:r>
    </w:p>
    <w:p>
      <w:pPr>
        <w:pStyle w:val="Compact"/>
        <w:numPr>
          <w:ilvl w:val="0"/>
          <w:numId w:val="1002"/>
        </w:numPr>
      </w:pPr>
      <w:r>
        <w:t xml:space="preserve">Sequentially, issuance expected to</w:t>
      </w:r>
      <w:r>
        <w:t xml:space="preserve"> </w:t>
      </w:r>
      <w:r>
        <w:rPr>
          <w:b/>
          <w:bCs/>
        </w:rPr>
        <w:t xml:space="preserve">decline mid-teens % from Q1 to Q2</w:t>
      </w:r>
      <w:r>
        <w:t xml:space="preserve"> </w:t>
      </w:r>
      <w:r>
        <w:t xml:space="preserve">(with revenue still up double-digits YoY in H1)</w:t>
      </w:r>
    </w:p>
    <w:p>
      <w:r>
        <w:pict>
          <v:rect style="width:0;height:1.5pt" o:hralign="center" o:hrstd="t" o:hr="t"/>
        </w:pict>
      </w:r>
    </w:p>
    <w:bookmarkEnd w:id="12"/>
    <w:bookmarkStart w:id="18" w:name="X222207c6afc84a1f71a037fe5ba6e2ac0ec34c3"/>
    <w:p>
      <w:pPr>
        <w:pStyle w:val="Heading2"/>
      </w:pPr>
      <w:r>
        <w:t xml:space="preserve">The five things that matter most this quarter</w:t>
      </w:r>
    </w:p>
    <w:bookmarkStart w:id="13" w:name="Xf55b717a4c36b1893f91001e28cc92989da8adb"/>
    <w:p>
      <w:pPr>
        <w:pStyle w:val="Heading3"/>
      </w:pPr>
      <w:r>
        <w:t xml:space="preserve">1. Did MIS issuance recover as the base case assumed?</w:t>
      </w:r>
    </w:p>
    <w:p>
      <w:pPr>
        <w:pStyle w:val="FirstParagraph"/>
      </w:pPr>
      <w:r>
        <w:t xml:space="preserve">This is the whole ballgame. In April, management's base case was that "current market turbulence is largely contained to April with issuance recovering through Q2 and Q3." The bear scenario they laid out themselves:</w:t>
      </w:r>
      <w:r>
        <w:t xml:space="preserve"> </w:t>
      </w:r>
      <w:r>
        <w:rPr>
          <w:b/>
          <w:bCs/>
        </w:rPr>
        <w:t xml:space="preserve">if volatility persists, FY MIS growth moderates to mid-single-digit and adjusted EPS trends toward the low end.</w:t>
      </w:r>
      <w:r>
        <w:t xml:space="preserve"> </w:t>
      </w:r>
      <w:r>
        <w:t xml:space="preserve">Q1 was a record — rated issuance topped</w:t>
      </w:r>
      <w:r>
        <w:t xml:space="preserve"> </w:t>
      </w:r>
      <w:r>
        <w:rPr>
          <w:b/>
          <w:bCs/>
        </w:rPr>
        <w:t xml:space="preserve">$2 trillion for the first time</w:t>
      </w:r>
      <w:r>
        <w:t xml:space="preserve">, led by near-record investment grade. Listen for:</w:t>
      </w:r>
    </w:p>
    <w:p>
      <w:pPr>
        <w:pStyle w:val="Compact"/>
        <w:numPr>
          <w:ilvl w:val="0"/>
          <w:numId w:val="1003"/>
        </w:numPr>
      </w:pPr>
      <w:r>
        <w:t xml:space="preserve">Whether the "backlog" of deferred Q1 deals actually printed in May/June (management flagged optimism about this).</w:t>
      </w:r>
    </w:p>
    <w:p>
      <w:pPr>
        <w:pStyle w:val="Compact"/>
        <w:numPr>
          <w:ilvl w:val="0"/>
          <w:numId w:val="1003"/>
        </w:numPr>
      </w:pPr>
      <w:r>
        <w:t xml:space="preserve">Bank loan repricing activity, which was already softening and is a known drag on H2 comps.</w:t>
      </w:r>
    </w:p>
    <w:p>
      <w:pPr>
        <w:pStyle w:val="Compact"/>
        <w:numPr>
          <w:ilvl w:val="0"/>
          <w:numId w:val="1003"/>
        </w:numPr>
      </w:pPr>
      <w:r>
        <w:t xml:space="preserve">M&amp;A-related issuance, which hit a multi-year high in Q1 — an encouraging leading indicator if it held.</w:t>
      </w:r>
    </w:p>
    <w:bookmarkEnd w:id="13"/>
    <w:bookmarkStart w:id="14" w:name="X0bdad3bbc7f1c5b26c569e501cf93556044783c"/>
    <w:p>
      <w:pPr>
        <w:pStyle w:val="Heading3"/>
      </w:pPr>
      <w:r>
        <w:t xml:space="preserve">2. The macro assumptions look stale — watch for a reset</w:t>
      </w:r>
    </w:p>
    <w:p>
      <w:pPr>
        <w:pStyle w:val="FirstParagraph"/>
      </w:pPr>
      <w:r>
        <w:t xml:space="preserve">April guidance assumed "one to two cuts to the Fed Funds Rate in 2026." The tape has since flipped hard: under new Fed Chair Kevin Warsh, multiple officials (including Cleveland's Beth Hammack) are now openly floating</w:t>
      </w:r>
      <w:r>
        <w:t xml:space="preserve"> </w:t>
      </w:r>
      <w:r>
        <w:rPr>
          <w:b/>
          <w:bCs/>
        </w:rPr>
        <w:t xml:space="preserve">rate hikes</w:t>
      </w:r>
      <w:r>
        <w:t xml:space="preserve"> </w:t>
      </w:r>
      <w:r>
        <w:t xml:space="preserve">to fight persistent inflation, with dissents possible at the next meeting. Higher-for-longer-or-higher rates and wider spreads are a direct headwind to transactional ratings revenue.</w:t>
      </w:r>
      <w:r>
        <w:t xml:space="preserve"> </w:t>
      </w:r>
      <w:r>
        <w:rPr>
          <w:b/>
          <w:bCs/>
        </w:rPr>
        <w:t xml:space="preserve">Any revision to Moody's macro assumption table (rates, spreads, GDP, default rates) is the most important tell in the release.</w:t>
      </w:r>
      <w:r>
        <w:t xml:space="preserve"> </w:t>
      </w:r>
      <w:r>
        <w:t xml:space="preserve">Also note the renewed Iran conflict and Hormuz disruptions — a repeat of the "risk-on/risk-off window" dynamic that compressed 80% of March IG issuance into 6 trading days.</w:t>
      </w:r>
    </w:p>
    <w:bookmarkEnd w:id="14"/>
    <w:bookmarkStart w:id="15" w:name="X5faf9182b6d2677029863f4136afdfb686a8981"/>
    <w:p>
      <w:pPr>
        <w:pStyle w:val="Heading3"/>
      </w:pPr>
      <w:r>
        <w:t xml:space="preserve">3. AI / hyperscaler jumbo issuance — tailwind or over-earned?</w:t>
      </w:r>
    </w:p>
    <w:p>
      <w:pPr>
        <w:pStyle w:val="FirstParagraph"/>
      </w:pPr>
      <w:r>
        <w:t xml:space="preserve">Hyperscaler issuance already hit</w:t>
      </w:r>
      <w:r>
        <w:t xml:space="preserve"> </w:t>
      </w:r>
      <w:r>
        <w:rPr>
          <w:b/>
          <w:bCs/>
        </w:rPr>
        <w:t xml:space="preserve">~$100B through Q1</w:t>
      </w:r>
      <w:r>
        <w:t xml:space="preserve">, nearly management's full-year expectation, with several jumbo AI-related financings. Fauber framed these as ordinary "frequent investment-grade issuers" on frequent-issuer pricing (i.e., less revenue per dollar of issuance). Given the surge in AI/data-center capex commitments across the market — and rising scrutiny of leveraged balance sheets (e.g., Oracle's credit-default costs recently spiking to multi-year highs) — watch both the</w:t>
      </w:r>
      <w:r>
        <w:t xml:space="preserve"> </w:t>
      </w:r>
      <w:r>
        <w:rPr>
          <w:i/>
          <w:iCs/>
        </w:rPr>
        <w:t xml:space="preserve">volume</w:t>
      </w:r>
      <w:r>
        <w:t xml:space="preserve"> </w:t>
      </w:r>
      <w:r>
        <w:t xml:space="preserve">upside and the</w:t>
      </w:r>
      <w:r>
        <w:t xml:space="preserve"> </w:t>
      </w:r>
      <w:r>
        <w:rPr>
          <w:i/>
          <w:iCs/>
        </w:rPr>
        <w:t xml:space="preserve">pricing mix</w:t>
      </w:r>
      <w:r>
        <w:t xml:space="preserve"> </w:t>
      </w:r>
      <w:r>
        <w:t xml:space="preserve">dilution.</w:t>
      </w:r>
    </w:p>
    <w:bookmarkEnd w:id="15"/>
    <w:bookmarkStart w:id="16" w:name="X4e3cfc87ae108d096b3b2616790967975776585"/>
    <w:p>
      <w:pPr>
        <w:pStyle w:val="Heading3"/>
      </w:pPr>
      <w:r>
        <w:t xml:space="preserve">4. Private credit — offense and defense</w:t>
      </w:r>
    </w:p>
    <w:p>
      <w:pPr>
        <w:pStyle w:val="FirstParagraph"/>
      </w:pPr>
      <w:r>
        <w:t xml:space="preserve">Private-credit-related ratings revenue grew</w:t>
      </w:r>
      <w:r>
        <w:t xml:space="preserve"> </w:t>
      </w:r>
      <w:r>
        <w:rPr>
          <w:b/>
          <w:bCs/>
        </w:rPr>
        <w:t xml:space="preserve">&gt;80% YoY</w:t>
      </w:r>
      <w:r>
        <w:t xml:space="preserve"> </w:t>
      </w:r>
      <w:r>
        <w:t xml:space="preserve">in Q1, and management argues stress in private markets</w:t>
      </w:r>
      <w:r>
        <w:t xml:space="preserve"> </w:t>
      </w:r>
      <w:r>
        <w:rPr>
          <w:i/>
          <w:iCs/>
        </w:rPr>
        <w:t xml:space="preserve">increases</w:t>
      </w:r>
      <w:r>
        <w:t xml:space="preserve"> </w:t>
      </w:r>
      <w:r>
        <w:t xml:space="preserve">demand for Moody's independent assessments as investors push for third-party ratings and disclosure. With private-credit headlines turning more cautious, this is a chance for Moody's to demonstrate the thesis is countercyclical rather than at risk.</w:t>
      </w:r>
    </w:p>
    <w:bookmarkEnd w:id="16"/>
    <w:bookmarkStart w:id="17" w:name="Xd318040edbdbd71ecbdcfeba911e9d938e4eee2"/>
    <w:p>
      <w:pPr>
        <w:pStyle w:val="Heading3"/>
      </w:pPr>
      <w:r>
        <w:t xml:space="preserve">5. Moody's Analytics: ARR trajectory and margin ramp under new leadership</w:t>
      </w:r>
    </w:p>
    <w:p>
      <w:pPr>
        <w:pStyle w:val="FirstParagraph"/>
      </w:pPr>
      <w:r>
        <w:t xml:space="preserve">MA is the durable-growth story, but it's noisy right now:</w:t>
      </w:r>
    </w:p>
    <w:p>
      <w:pPr>
        <w:pStyle w:val="Compact"/>
        <w:numPr>
          <w:ilvl w:val="0"/>
          <w:numId w:val="1004"/>
        </w:numPr>
      </w:pPr>
      <w:r>
        <w:rPr>
          <w:b/>
          <w:bCs/>
        </w:rPr>
        <w:t xml:space="preserve">ARR grew 8%</w:t>
      </w:r>
      <w:r>
        <w:t xml:space="preserve"> </w:t>
      </w:r>
      <w:r>
        <w:t xml:space="preserve">in Q1 to $3.6B; management targets</w:t>
      </w:r>
      <w:r>
        <w:t xml:space="preserve"> </w:t>
      </w:r>
      <w:r>
        <w:rPr>
          <w:b/>
          <w:bCs/>
        </w:rPr>
        <w:t xml:space="preserve">high-single-digit</w:t>
      </w:r>
      <w:r>
        <w:t xml:space="preserve"> </w:t>
      </w:r>
      <w:r>
        <w:t xml:space="preserve">ARR for the year, with acceleration in H2 tied to sales seasonality, the new KYC "Moody's for compliance" launch, and new product releases.</w:t>
      </w:r>
    </w:p>
    <w:p>
      <w:pPr>
        <w:pStyle w:val="Compact"/>
        <w:numPr>
          <w:ilvl w:val="0"/>
          <w:numId w:val="1004"/>
        </w:numPr>
      </w:pPr>
      <w:r>
        <w:rPr>
          <w:b/>
          <w:bCs/>
        </w:rPr>
        <w:t xml:space="preserve">KYC</w:t>
      </w:r>
      <w:r>
        <w:t xml:space="preserve"> </w:t>
      </w:r>
      <w:r>
        <w:t xml:space="preserve">is expected to re-accelerate from 13% back to</w:t>
      </w:r>
      <w:r>
        <w:t xml:space="preserve"> </w:t>
      </w:r>
      <w:r>
        <w:rPr>
          <w:b/>
          <w:bCs/>
        </w:rPr>
        <w:t xml:space="preserve">mid-teens</w:t>
      </w:r>
      <w:r>
        <w:t xml:space="preserve"> </w:t>
      </w:r>
      <w:r>
        <w:t xml:space="preserve">ARR growth.</w:t>
      </w:r>
    </w:p>
    <w:p>
      <w:pPr>
        <w:pStyle w:val="Compact"/>
        <w:numPr>
          <w:ilvl w:val="0"/>
          <w:numId w:val="1004"/>
        </w:numPr>
      </w:pPr>
      <w:r>
        <w:rPr>
          <w:b/>
          <w:bCs/>
        </w:rPr>
        <w:t xml:space="preserve">Reported</w:t>
      </w:r>
      <w:r>
        <w:t xml:space="preserve"> </w:t>
      </w:r>
      <w:r>
        <w:t xml:space="preserve">MA revenue is depressed by the</w:t>
      </w:r>
      <w:r>
        <w:t xml:space="preserve"> </w:t>
      </w:r>
      <w:r>
        <w:rPr>
          <w:b/>
          <w:bCs/>
        </w:rPr>
        <w:t xml:space="preserve">Regulatory Solutions divestiture</w:t>
      </w:r>
      <w:r>
        <w:t xml:space="preserve"> </w:t>
      </w:r>
      <w:r>
        <w:t xml:space="preserve">(closed ~April 30) and the continued transactional runoff — so focus on</w:t>
      </w:r>
      <w:r>
        <w:t xml:space="preserve"> </w:t>
      </w:r>
      <w:r>
        <w:rPr>
          <w:b/>
          <w:bCs/>
        </w:rPr>
        <w:t xml:space="preserve">organic constant-currency recurring revenue and ARR</w:t>
      </w:r>
      <w:r>
        <w:t xml:space="preserve">, not headline revenue.</w:t>
      </w:r>
    </w:p>
    <w:p>
      <w:pPr>
        <w:pStyle w:val="Compact"/>
        <w:numPr>
          <w:ilvl w:val="0"/>
          <w:numId w:val="1004"/>
        </w:numPr>
      </w:pPr>
      <w:r>
        <w:rPr>
          <w:b/>
          <w:bCs/>
        </w:rPr>
        <w:t xml:space="preserve">Margin</w:t>
      </w:r>
      <w:r>
        <w:t xml:space="preserve">: MA adjusted op margin expanded 250 bps to 32.5% in Q1; the FY target is 34–35%, ramping to mid-to-high 30s by 2027. This is the first full quarter under new MA CEO</w:t>
      </w:r>
      <w:r>
        <w:t xml:space="preserve"> </w:t>
      </w:r>
      <w:r>
        <w:rPr>
          <w:b/>
          <w:bCs/>
        </w:rPr>
        <w:t xml:space="preserve">Christina Kosmowski</w:t>
      </w:r>
      <w:r>
        <w:t xml:space="preserve"> </w:t>
      </w:r>
      <w:r>
        <w:t xml:space="preserve">(started June) — expect questions on strategy/execution.</w:t>
      </w:r>
    </w:p>
    <w:p>
      <w:pPr>
        <w:pStyle w:val="Compact"/>
        <w:numPr>
          <w:ilvl w:val="0"/>
          <w:numId w:val="1004"/>
        </w:numPr>
      </w:pPr>
      <w:r>
        <w:rPr>
          <w:b/>
          <w:bCs/>
        </w:rPr>
        <w:t xml:space="preserve">AI distribution/monetization</w:t>
      </w:r>
      <w:r>
        <w:t xml:space="preserve">: Moody's has rolled out MCP integrations across ChatGPT Enterprise, Claude/Anthropic, Microsoft 365 Copilot, and the AWS Marketplace (plus an Amazon Quick integration in June that lifted the stock ~3%). These are "bring-your-own-license" models — investors will want early signs of trial-to-revenue conversion and any "up-leveling" of enterprise contracts.</w:t>
      </w:r>
    </w:p>
    <w:p>
      <w:r>
        <w:pict>
          <v:rect style="width:0;height:1.5pt" o:hralign="center" o:hrstd="t" o:hr="t"/>
        </w:pict>
      </w:r>
    </w:p>
    <w:bookmarkEnd w:id="17"/>
    <w:bookmarkEnd w:id="18"/>
    <w:bookmarkStart w:id="19" w:name="capital-return--housekeeping"/>
    <w:p>
      <w:pPr>
        <w:pStyle w:val="Heading2"/>
      </w:pPr>
      <w:r>
        <w:t xml:space="preserve">Capital return &amp; housekeeping</w:t>
      </w:r>
    </w:p>
    <w:p>
      <w:pPr>
        <w:pStyle w:val="Compact"/>
        <w:numPr>
          <w:ilvl w:val="0"/>
          <w:numId w:val="1005"/>
        </w:numPr>
      </w:pPr>
      <w:r>
        <w:t xml:space="preserve">Moody's returned</w:t>
      </w:r>
      <w:r>
        <w:t xml:space="preserve"> </w:t>
      </w:r>
      <m:oMath>
        <m:r>
          <m:t>1.7</m:t>
        </m:r>
        <m:r>
          <m:t>B</m:t>
        </m:r>
        <m:r>
          <m:t>i</m:t>
        </m:r>
        <m:r>
          <m:t>n</m:t>
        </m:r>
        <m:r>
          <m:t>Q</m:t>
        </m:r>
        <m:r>
          <m:t>1</m:t>
        </m:r>
        <m:r>
          <m:rPr>
            <m:sty m:val="p"/>
          </m:rPr>
          <m:t>*</m:t>
        </m:r>
        <m:r>
          <m:rPr>
            <m:sty m:val="p"/>
          </m:rPr>
          <m:t>*</m:t>
        </m:r>
        <m:r>
          <m:rPr>
            <m:sty m:val="p"/>
          </m:rPr>
          <m:t>(</m:t>
        </m:r>
      </m:oMath>
      <w:r>
        <w:rPr>
          <w:b/>
          <w:bCs/>
        </w:rPr>
        <w:t xml:space="preserve">1.5B buybacks +</w:t>
      </w:r>
      <w:r>
        <w:rPr>
          <w:b/>
          <w:bCs/>
        </w:rPr>
        <w:t xml:space="preserve"> </w:t>
      </w:r>
      <m:oMath>
        <m:r>
          <m:t>185</m:t>
        </m:r>
        <m:r>
          <m:t>M</m:t>
        </m:r>
        <m:r>
          <m:t>d</m:t>
        </m:r>
        <m:r>
          <m:t>i</m:t>
        </m:r>
        <m:r>
          <m:t>v</m:t>
        </m:r>
        <m:r>
          <m:t>i</m:t>
        </m:r>
        <m:r>
          <m:t>d</m:t>
        </m:r>
        <m:r>
          <m:t>e</m:t>
        </m:r>
        <m:r>
          <m:t>n</m:t>
        </m:r>
        <m:r>
          <m:t>d</m:t>
        </m:r>
        <m:r>
          <m:t>s</m:t>
        </m:r>
        <m:r>
          <m:rPr>
            <m:sty m:val="p"/>
          </m:rPr>
          <m:t>)</m:t>
        </m:r>
        <m:r>
          <m:t>a</m:t>
        </m:r>
        <m:r>
          <m:t>n</m:t>
        </m:r>
        <m:r>
          <m:t>d</m:t>
        </m:r>
        <m:r>
          <m:rPr>
            <m:sty m:val="p"/>
          </m:rPr>
          <m:t>*</m:t>
        </m:r>
        <m:r>
          <m:rPr>
            <m:sty m:val="p"/>
          </m:rPr>
          <m:t>*</m:t>
        </m:r>
        <m:r>
          <m:t>r</m:t>
        </m:r>
        <m:r>
          <m:t>a</m:t>
        </m:r>
        <m:r>
          <m:t>i</m:t>
        </m:r>
        <m:r>
          <m:t>s</m:t>
        </m:r>
        <m:r>
          <m:t>e</m:t>
        </m:r>
        <m:r>
          <m:t>d</m:t>
        </m:r>
        <m:r>
          <m:t>b</m:t>
        </m:r>
        <m:r>
          <m:t>u</m:t>
        </m:r>
        <m:r>
          <m:t>y</m:t>
        </m:r>
        <m:r>
          <m:t>b</m:t>
        </m:r>
        <m:r>
          <m:t>a</m:t>
        </m:r>
        <m:r>
          <m:t>c</m:t>
        </m:r>
        <m:r>
          <m:t>k</m:t>
        </m:r>
        <m:r>
          <m:t>g</m:t>
        </m:r>
        <m:r>
          <m:t>u</m:t>
        </m:r>
        <m:r>
          <m:t>i</m:t>
        </m:r>
        <m:r>
          <m:t>d</m:t>
        </m:r>
        <m:r>
          <m:t>a</m:t>
        </m:r>
        <m:r>
          <m:t>n</m:t>
        </m:r>
        <m:r>
          <m:t>c</m:t>
        </m:r>
        <m:r>
          <m:t>e</m:t>
        </m:r>
        <m:r>
          <m:t>t</m:t>
        </m:r>
        <m:r>
          <m:t>o</m:t>
        </m:r>
        <m:r>
          <m:t> </m:t>
        </m:r>
      </m:oMath>
      <w:r>
        <w:rPr>
          <w:b/>
          <w:bCs/>
        </w:rPr>
        <w:t xml:space="preserve">2.5B</w:t>
      </w:r>
      <w:r>
        <w:t xml:space="preserve">, targeting ~110% of FCF returned by year-end. Balance sheet remains a source of flexibility; watch for further M&amp;A or buyback commentary.</w:t>
      </w:r>
    </w:p>
    <w:p>
      <w:pPr>
        <w:pStyle w:val="Compact"/>
        <w:numPr>
          <w:ilvl w:val="0"/>
          <w:numId w:val="1005"/>
        </w:numPr>
      </w:pPr>
      <w:r>
        <w:t xml:space="preserve">A large</w:t>
      </w:r>
      <w:r>
        <w:t xml:space="preserve"> </w:t>
      </w:r>
      <w:r>
        <w:rPr>
          <w:b/>
          <w:bCs/>
        </w:rPr>
        <w:t xml:space="preserve">gain on the Regulatory Solutions divestiture</w:t>
      </w:r>
      <w:r>
        <w:t xml:space="preserve"> </w:t>
      </w:r>
      <w:r>
        <w:t xml:space="preserve">(~$1.25 EPS) will inflate GAAP EPS and non-operating income but is</w:t>
      </w:r>
      <w:r>
        <w:t xml:space="preserve"> </w:t>
      </w:r>
      <w:r>
        <w:rPr>
          <w:b/>
          <w:bCs/>
        </w:rPr>
        <w:t xml:space="preserve">excluded from adjusted EPS</w:t>
      </w:r>
      <w:r>
        <w:t xml:space="preserve"> </w:t>
      </w:r>
      <w:r>
        <w:t xml:space="preserve">— don't be fooled by the headline GAAP number.</w:t>
      </w:r>
    </w:p>
    <w:p>
      <w:pPr>
        <w:pStyle w:val="Compact"/>
        <w:numPr>
          <w:ilvl w:val="0"/>
          <w:numId w:val="1005"/>
        </w:numPr>
      </w:pPr>
      <w:r>
        <w:t xml:space="preserve">Reserve for an international non-income tax obligation was a ~$0.25 FY adjusted-EPS item flagged in Q1 — check for updates.</w:t>
      </w:r>
    </w:p>
    <w:p>
      <w:r>
        <w:pict>
          <v:rect style="width:0;height:1.5pt" o:hralign="center" o:hrstd="t" o:hr="t"/>
        </w:pict>
      </w:r>
    </w:p>
    <w:bookmarkEnd w:id="19"/>
    <w:bookmarkStart w:id="20" w:name="stock-context"/>
    <w:p>
      <w:pPr>
        <w:pStyle w:val="Heading2"/>
      </w:pPr>
      <w:r>
        <w:t xml:space="preserve">Stock context</w:t>
      </w:r>
    </w:p>
    <w:p>
      <w:pPr>
        <w:pStyle w:val="Compact"/>
        <w:numPr>
          <w:ilvl w:val="0"/>
          <w:numId w:val="1006"/>
        </w:numPr>
      </w:pPr>
      <w:r>
        <w:t xml:space="preserve">MCO is roughly</w:t>
      </w:r>
      <w:r>
        <w:t xml:space="preserve"> </w:t>
      </w:r>
      <w:r>
        <w:rPr>
          <w:b/>
          <w:bCs/>
        </w:rPr>
        <w:t xml:space="preserve">flat year-to-date (~-2%)</w:t>
      </w:r>
      <w:r>
        <w:t xml:space="preserve">, but that masks a violent February drawdown to ~$412 and a subsequent ~19% recovery. It has</w:t>
      </w:r>
      <w:r>
        <w:t xml:space="preserve"> </w:t>
      </w:r>
      <w:r>
        <w:rPr>
          <w:b/>
          <w:bCs/>
        </w:rPr>
        <w:t xml:space="preserve">massively outperformed peer S&amp;P Global (SPGI ~-16% YTD)</w:t>
      </w:r>
      <w:r>
        <w:t xml:space="preserve">.</w:t>
      </w:r>
    </w:p>
    <w:p>
      <w:pPr>
        <w:pStyle w:val="Compact"/>
        <w:numPr>
          <w:ilvl w:val="0"/>
          <w:numId w:val="1006"/>
        </w:numPr>
      </w:pPr>
      <w:r>
        <w:t xml:space="preserve">Shares ran to a recent high (~</w:t>
      </w:r>
      <m:oMath>
        <m:r>
          <m:t>519</m:t>
        </m:r>
        <m:r>
          <m:t>o</m:t>
        </m:r>
        <m:r>
          <m:t>n</m:t>
        </m:r>
        <m:r>
          <m:t>7</m:t>
        </m:r>
        <m:r>
          <m:rPr>
            <m:sty m:val="p"/>
          </m:rPr>
          <m:t>/</m:t>
        </m:r>
        <m:r>
          <m:t>16</m:t>
        </m:r>
        <m:r>
          <m:rPr>
            <m:sty m:val="p"/>
          </m:rPr>
          <m:t>)</m:t>
        </m:r>
        <m:r>
          <m:t>a</m:t>
        </m:r>
        <m:r>
          <m:t>n</m:t>
        </m:r>
        <m:r>
          <m:t>d</m:t>
        </m:r>
        <m:r>
          <m:t>h</m:t>
        </m:r>
        <m:r>
          <m:t>a</m:t>
        </m:r>
        <m:r>
          <m:t>v</m:t>
        </m:r>
        <m:r>
          <m:t>e</m:t>
        </m:r>
        <m:r>
          <m:rPr>
            <m:sty m:val="p"/>
          </m:rPr>
          <m:t>*</m:t>
        </m:r>
        <m:r>
          <m:rPr>
            <m:sty m:val="p"/>
          </m:rPr>
          <m:t>*</m:t>
        </m:r>
        <m:r>
          <m:t>p</m:t>
        </m:r>
        <m:r>
          <m:t>u</m:t>
        </m:r>
        <m:r>
          <m:t>l</m:t>
        </m:r>
        <m:r>
          <m:t>l</m:t>
        </m:r>
        <m:r>
          <m:t>e</m:t>
        </m:r>
        <m:r>
          <m:t>d</m:t>
        </m:r>
        <m:r>
          <m:t>b</m:t>
        </m:r>
        <m:r>
          <m:t>a</m:t>
        </m:r>
        <m:r>
          <m:t>c</m:t>
        </m:r>
        <m:r>
          <m:t>k</m:t>
        </m:r>
        <m:r>
          <m:t> </m:t>
        </m:r>
        <m:r>
          <m:t>5</m:t>
        </m:r>
      </m:oMath>
      <w:r>
        <w:t xml:space="preserve">491 on 7/21), so expectations have been rebuilding — leaving less cushion for a soft issuance read or a cautious macro reset.</w:t>
      </w:r>
    </w:p>
    <w:bookmarkEnd w:id="20"/>
    <w:bookmarkStart w:id="21" w:name="bottom-line"/>
    <w:p>
      <w:pPr>
        <w:pStyle w:val="Heading2"/>
      </w:pPr>
      <w:r>
        <w:t xml:space="preserve">Bottom line</w:t>
      </w:r>
    </w:p>
    <w:p>
      <w:pPr>
        <w:pStyle w:val="FirstParagraph"/>
      </w:pPr>
      <w:r>
        <w:t xml:space="preserve">The most likely narrative: another EPS beat driven by MIS operating leverage and disciplined costs, with the key debate centered on</w:t>
      </w:r>
      <w:r>
        <w:t xml:space="preserve"> </w:t>
      </w:r>
      <w:r>
        <w:rPr>
          <w:b/>
          <w:bCs/>
        </w:rPr>
        <w:t xml:space="preserve">guidance tone</w:t>
      </w:r>
      <w:r>
        <w:t xml:space="preserve">. A clean issuance recovery + reaffirmed (or nudged-up) FY EPS keeps the outperformance intact. The risk is a</w:t>
      </w:r>
      <w:r>
        <w:t xml:space="preserve"> </w:t>
      </w:r>
      <w:r>
        <w:rPr>
          <w:b/>
          <w:bCs/>
        </w:rPr>
        <w:t xml:space="preserve">guidance hedge</w:t>
      </w:r>
      <w:r>
        <w:t xml:space="preserve"> </w:t>
      </w:r>
      <w:r>
        <w:t xml:space="preserve">— if May/June issuance disappointed and management leans into the "toward the low end" scenario given the hawkish Fed pivot and geopolitical volatility, the stock's premium valuation and recent rally leave room for a pullback. Watch the macro-assumption table, the H2 MIS revenue framing, and MA organic ARR above all else.</w:t>
      </w:r>
    </w:p>
    <w:p>
      <w:r>
        <w:pict>
          <v:rect style="width:0;height:1.5pt" o:hralign="center" o:hrstd="t" o:hr="t"/>
        </w:pict>
      </w:r>
    </w:p>
    <w:p>
      <w:pPr>
        <w:pStyle w:val="FirstParagraph"/>
      </w:pPr>
      <w:r>
        <w:rPr>
          <w:i/>
          <w:iCs/>
        </w:rPr>
        <w:t xml:space="preserve">Sources: MCO Q1 2026 earnings release and earnings call transcript (April 22, 2026); daily market news digests (July 2026); Finnhub price data; published analyst preview (Barchart/Yahoo Finance). Consensus figures are Street estimates and may differ from final reported results.</w:t>
      </w:r>
    </w:p>
    <w:p>
      <w:pPr>
        <w:pStyle w:val="BodyText"/>
      </w:pPr>
      <w:r>
        <w:t xml:space="preserve">Want me to build a quick model/scenario table (bull/base/bear EPS and revenue) or pull the exact Q2 2025 comparison figures for a side-by-side?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2026-07-22T00:26:54Z</dcterms:created>
  <dcterms:modified xsi:type="dcterms:W3CDTF">2026-07-22T00:26:54Z</dcterms:modified>
</cp:coreProperties>
</file>

<file path=docProps/custom.xml><?xml version="1.0" encoding="utf-8"?>
<Properties xmlns="http://schemas.openxmlformats.org/officeDocument/2006/custom-properties" xmlns:vt="http://schemas.openxmlformats.org/officeDocument/2006/docPropsVTypes"/>
</file>