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moodys-mco-2026-q2-earnings-preview"/>
    <w:p>
      <w:pPr>
        <w:pStyle w:val="Heading1"/>
      </w:pPr>
      <w:r>
        <w:t xml:space="preserve">Moody’s (MCO) 2026 Q2 Earnings Preview</w:t>
      </w:r>
    </w:p>
    <w:p>
      <w:pPr>
        <w:pStyle w:val="BlockText"/>
      </w:pPr>
      <w:r>
        <w:rPr>
          <w:b/>
          <w:bCs/>
        </w:rPr>
        <w:t xml:space="preserve">Date note:</w:t>
      </w:r>
      <w:r>
        <w:t xml:space="preserve"> </w:t>
      </w:r>
      <w:r>
        <w:t xml:space="preserve">July 22, 2026 is today, rather than tomorrow. This preview treats the supplied</w:t>
      </w:r>
      <w:r>
        <w:t xml:space="preserve"> </w:t>
      </w:r>
      <w:r>
        <w:rPr>
          <w:b/>
          <w:bCs/>
        </w:rPr>
        <w:t xml:space="preserve">July 22, 2026 Q2 earnings call</w:t>
      </w:r>
      <w:r>
        <w:t xml:space="preserve"> </w:t>
      </w:r>
      <w:r>
        <w:t xml:space="preserve">as still upcoming.</w:t>
      </w:r>
    </w:p>
    <w:bookmarkStart w:id="9" w:name="investment-view-going-into-the-report"/>
    <w:p>
      <w:pPr>
        <w:pStyle w:val="Heading2"/>
      </w:pPr>
      <w:r>
        <w:t xml:space="preserve">Investment view going into the report</w:t>
      </w:r>
    </w:p>
    <w:p>
      <w:pPr>
        <w:pStyle w:val="FirstParagraph"/>
      </w:pPr>
      <w:r>
        <w:t xml:space="preserve">Moody’s enters Q2 with a favorable operating setup: strong debt issuance, substantial operating leverage in Moody’s Investors Service, durable recurring growth in Moody’s Analytics, and aggressive share repurchases. The principal question is no longer whether Q2 was strong—it likely was—but whether management can</w:t>
      </w:r>
      <w:r>
        <w:t xml:space="preserve"> </w:t>
      </w:r>
      <w:r>
        <w:rPr>
          <w:b/>
          <w:bCs/>
        </w:rPr>
        <w:t xml:space="preserve">raise or de-risk full-year expectations</w:t>
      </w:r>
      <w:r>
        <w:t xml:space="preserve"> </w:t>
      </w:r>
      <w:r>
        <w:t xml:space="preserve">despite an uncertain rate and geopolitical backdrop.</w:t>
      </w:r>
    </w:p>
    <w:p>
      <w:pPr>
        <w:pStyle w:val="BodyText"/>
      </w:pPr>
      <w:r>
        <w:t xml:space="preserve">The most important numbers will be:</w:t>
      </w:r>
    </w:p>
    <w:p>
      <w:pPr>
        <w:pStyle w:val="Compact"/>
        <w:numPr>
          <w:ilvl w:val="0"/>
          <w:numId w:val="1001"/>
        </w:numPr>
      </w:pPr>
      <w:r>
        <w:rPr>
          <w:b/>
          <w:bCs/>
        </w:rPr>
        <w:t xml:space="preserve">MIS revenue growth and the second-half issuance outlook</w:t>
      </w:r>
    </w:p>
    <w:p>
      <w:pPr>
        <w:pStyle w:val="Compact"/>
        <w:numPr>
          <w:ilvl w:val="0"/>
          <w:numId w:val="1001"/>
        </w:numPr>
      </w:pPr>
      <w:r>
        <w:rPr>
          <w:b/>
          <w:bCs/>
        </w:rPr>
        <w:t xml:space="preserve">MA ARR growth and evidence of acceleration</w:t>
      </w:r>
    </w:p>
    <w:p>
      <w:pPr>
        <w:pStyle w:val="Compact"/>
        <w:numPr>
          <w:ilvl w:val="0"/>
          <w:numId w:val="1001"/>
        </w:numPr>
      </w:pPr>
      <w:r>
        <w:rPr>
          <w:b/>
          <w:bCs/>
        </w:rPr>
        <w:t xml:space="preserve">Segment margin performance</w:t>
      </w:r>
    </w:p>
    <w:p>
      <w:pPr>
        <w:pStyle w:val="Compact"/>
        <w:numPr>
          <w:ilvl w:val="0"/>
          <w:numId w:val="1001"/>
        </w:numPr>
      </w:pPr>
      <w:r>
        <w:rPr>
          <w:b/>
          <w:bCs/>
        </w:rPr>
        <w:t xml:space="preserve">Full-year adjusted EPS guidance</w:t>
      </w:r>
    </w:p>
    <w:p>
      <w:pPr>
        <w:pStyle w:val="Compact"/>
        <w:numPr>
          <w:ilvl w:val="0"/>
          <w:numId w:val="1001"/>
        </w:numPr>
      </w:pPr>
      <w:r>
        <w:rPr>
          <w:b/>
          <w:bCs/>
        </w:rPr>
        <w:t xml:space="preserve">Early monetization of Moody’s AI distribution strategy</w:t>
      </w:r>
    </w:p>
    <w:bookmarkEnd w:id="9"/>
    <w:bookmarkStart w:id="10" w:name="key-benchmarks"/>
    <w:p>
      <w:pPr>
        <w:pStyle w:val="Heading2"/>
      </w:pPr>
      <w:r>
        <w:t xml:space="preserve">Key benchmarks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benchmark / prior guidance</w:t>
            </w:r>
          </w:p>
        </w:tc>
        <w:tc>
          <w:tcPr/>
          <w:p>
            <w:pPr>
              <w:pStyle w:val="Compact"/>
            </w:pPr>
            <w:r>
              <w:t xml:space="preserve">Why it matters</w:t>
            </w:r>
          </w:p>
        </w:tc>
      </w:tr>
      <w:tr>
        <w:tc>
          <w:tcPr/>
          <w:p>
            <w:pPr>
              <w:pStyle w:val="Compact"/>
            </w:pPr>
            <w:r>
              <w:t xml:space="preserve">Adjusted diluted EPS</w:t>
            </w:r>
          </w:p>
        </w:tc>
        <w:tc>
          <w:tcPr/>
          <w:p>
            <w:pPr>
              <w:pStyle w:val="Compact"/>
              <w:jc w:val="right"/>
            </w:pPr>
            <m:oMath>
              <m:r>
                <m:t>4.15</m:t>
              </m:r>
              <m:r>
                <m:rPr>
                  <m:sty m:val="p"/>
                </m:rPr>
                <m:t>–</m:t>
              </m:r>
            </m:oMath>
            <w:r>
              <w:rPr>
                <w:b/>
                <w:bCs/>
              </w:rPr>
              <w:t xml:space="preserve">4.30</w:t>
            </w:r>
            <w:r>
              <w:t xml:space="preserve"> </w:t>
            </w:r>
            <w:r>
              <w:t xml:space="preserve">company forecast</w:t>
            </w:r>
          </w:p>
        </w:tc>
        <w:tc>
          <w:tcPr/>
          <w:p>
            <w:pPr>
              <w:pStyle w:val="Compact"/>
            </w:pPr>
            <w:r>
              <w:t xml:space="preserve">Implies roughly 17%–21% growth from Q2 2025</w:t>
            </w:r>
          </w:p>
        </w:tc>
      </w:tr>
      <w:tr>
        <w:tc>
          <w:tcPr/>
          <w:p>
            <w:pPr>
              <w:pStyle w:val="Compact"/>
            </w:pPr>
            <w:r>
              <w:t xml:space="preserve">MIS revenue growth</w:t>
            </w:r>
          </w:p>
        </w:tc>
        <w:tc>
          <w:tcPr/>
          <w:p>
            <w:pPr>
              <w:pStyle w:val="Compact"/>
              <w:jc w:val="right"/>
            </w:pPr>
            <w:r>
              <w:rPr>
                <w:b/>
                <w:bCs/>
              </w:rPr>
              <w:t xml:space="preserve">Low- to mid-teens</w:t>
            </w:r>
          </w:p>
        </w:tc>
        <w:tc>
          <w:tcPr/>
          <w:p>
            <w:pPr>
              <w:pStyle w:val="Compact"/>
            </w:pPr>
            <w:r>
              <w:t xml:space="preserve">The main near-term earnings driver</w:t>
            </w:r>
          </w:p>
        </w:tc>
      </w:tr>
      <w:tr>
        <w:tc>
          <w:tcPr/>
          <w:p>
            <w:pPr>
              <w:pStyle w:val="Compact"/>
            </w:pPr>
            <w:r>
              <w:t xml:space="preserve">Implied MIS revenue</w:t>
            </w:r>
          </w:p>
        </w:tc>
        <w:tc>
          <w:tcPr/>
          <w:p>
            <w:pPr>
              <w:pStyle w:val="Compact"/>
              <w:jc w:val="right"/>
            </w:pPr>
            <w:r>
              <w:t xml:space="preserve">Approximately</w:t>
            </w:r>
            <w:r>
              <w:t xml:space="preserve"> </w:t>
            </w:r>
            <m:oMath>
              <m:r>
                <m:t>1.11</m:t>
              </m:r>
              <m:r>
                <m:rPr>
                  <m:sty m:val="p"/>
                </m:rPr>
                <m:t>–</m:t>
              </m:r>
            </m:oMath>
            <w:r>
              <w:rPr>
                <w:b/>
                <w:bCs/>
              </w:rPr>
              <w:t xml:space="preserve">1.16 billion</w:t>
            </w:r>
          </w:p>
        </w:tc>
        <w:tc>
          <w:tcPr/>
          <w:p>
            <w:pPr>
              <w:pStyle w:val="Compact"/>
            </w:pPr>
            <w:r>
              <w:t xml:space="preserve">Based on Q2 2025 MIS revenue of $1.01 billion</w:t>
            </w:r>
          </w:p>
        </w:tc>
      </w:tr>
      <w:tr>
        <w:tc>
          <w:tcPr/>
          <w:p>
            <w:pPr>
              <w:pStyle w:val="Compact"/>
            </w:pPr>
            <w:r>
              <w:t xml:space="preserve">MCO adjusted operating margin</w:t>
            </w:r>
          </w:p>
        </w:tc>
        <w:tc>
          <w:tcPr/>
          <w:p>
            <w:pPr>
              <w:pStyle w:val="Compact"/>
              <w:jc w:val="right"/>
            </w:pPr>
            <w:r>
              <w:t xml:space="preserve">Expected to be</w:t>
            </w:r>
            <w:r>
              <w:t xml:space="preserve"> </w:t>
            </w:r>
            <w:r>
              <w:rPr>
                <w:b/>
                <w:bCs/>
              </w:rPr>
              <w:t xml:space="preserve">above 52.5%</w:t>
            </w:r>
          </w:p>
        </w:tc>
        <w:tc>
          <w:tcPr/>
          <w:p>
            <w:pPr>
              <w:pStyle w:val="Compact"/>
            </w:pPr>
            <w:r>
              <w:t xml:space="preserve">Management forecast Q2 and Q3 above the midpoint of its 52%–53% annual range</w:t>
            </w:r>
          </w:p>
        </w:tc>
      </w:tr>
      <w:tr>
        <w:tc>
          <w:tcPr/>
          <w:p>
            <w:pPr>
              <w:pStyle w:val="Compact"/>
            </w:pPr>
            <w:r>
              <w:t xml:space="preserve">MA margin</w:t>
            </w:r>
          </w:p>
        </w:tc>
        <w:tc>
          <w:tcPr/>
          <w:p>
            <w:pPr>
              <w:pStyle w:val="Compact"/>
              <w:jc w:val="right"/>
            </w:pPr>
            <w:r>
              <w:t xml:space="preserve">A modest sequential increase from</w:t>
            </w:r>
            <w:r>
              <w:t xml:space="preserve"> </w:t>
            </w:r>
            <w:r>
              <w:rPr>
                <w:b/>
                <w:bCs/>
              </w:rPr>
              <w:t xml:space="preserve">32.5% in Q1</w:t>
            </w:r>
          </w:p>
        </w:tc>
        <w:tc>
          <w:tcPr/>
          <w:p>
            <w:pPr>
              <w:pStyle w:val="Compact"/>
            </w:pPr>
            <w:r>
              <w:t xml:space="preserve">The larger margin ramp was expected in the second half</w:t>
            </w:r>
          </w:p>
        </w:tc>
      </w:tr>
      <w:tr>
        <w:tc>
          <w:tcPr/>
          <w:p>
            <w:pPr>
              <w:pStyle w:val="Compact"/>
            </w:pPr>
            <w:r>
              <w:t xml:space="preserve">MA ARR growth</w:t>
            </w:r>
          </w:p>
        </w:tc>
        <w:tc>
          <w:tcPr/>
          <w:p>
            <w:pPr>
              <w:pStyle w:val="Compact"/>
              <w:jc w:val="right"/>
            </w:pPr>
            <w:r>
              <w:t xml:space="preserve">High-single-digit full-year target;</w:t>
            </w:r>
            <w:r>
              <w:t xml:space="preserve"> </w:t>
            </w:r>
            <w:r>
              <w:rPr>
                <w:b/>
                <w:bCs/>
              </w:rPr>
              <w:t xml:space="preserve">8% in Q1</w:t>
            </w:r>
          </w:p>
        </w:tc>
        <w:tc>
          <w:tcPr/>
          <w:p>
            <w:pPr>
              <w:pStyle w:val="Compact"/>
            </w:pPr>
            <w:r>
              <w:t xml:space="preserve">Best measure of underlying Analytics demand</w:t>
            </w:r>
          </w:p>
        </w:tc>
      </w:tr>
      <w:tr>
        <w:tc>
          <w:tcPr/>
          <w:p>
            <w:pPr>
              <w:pStyle w:val="Compact"/>
            </w:pPr>
            <w:r>
              <w:t xml:space="preserve">Effective tax rate</w:t>
            </w:r>
          </w:p>
        </w:tc>
        <w:tc>
          <w:tcPr/>
          <w:p>
            <w:pPr>
              <w:pStyle w:val="Compact"/>
              <w:jc w:val="right"/>
            </w:pPr>
            <w:r>
              <w:t xml:space="preserve">High end of the</w:t>
            </w:r>
            <w:r>
              <w:t xml:space="preserve"> </w:t>
            </w:r>
            <w:r>
              <w:rPr>
                <w:b/>
                <w:bCs/>
              </w:rPr>
              <w:t xml:space="preserve">23%–25%</w:t>
            </w:r>
            <w:r>
              <w:t xml:space="preserve"> </w:t>
            </w:r>
            <w:r>
              <w:t xml:space="preserve">annual range</w:t>
            </w:r>
          </w:p>
        </w:tc>
        <w:tc>
          <w:tcPr/>
          <w:p>
            <w:pPr>
              <w:pStyle w:val="Compact"/>
            </w:pPr>
            <w:r>
              <w:t xml:space="preserve">Potential restraint on quarterly EPS</w:t>
            </w:r>
          </w:p>
        </w:tc>
      </w:tr>
    </w:tbl>
    <w:p>
      <w:pPr>
        <w:pStyle w:val="BodyText"/>
      </w:pPr>
      <w:r>
        <w:t xml:space="preserve">The company’s Q2 adjusted EPS forecast is substantially above the</w:t>
      </w:r>
      <w:r>
        <w:t xml:space="preserve"> </w:t>
      </w:r>
      <w:r>
        <w:rPr>
          <w:b/>
          <w:bCs/>
        </w:rPr>
        <w:t xml:space="preserve">$3.56</w:t>
      </w:r>
      <w:r>
        <w:t xml:space="preserve"> </w:t>
      </w:r>
      <w:r>
        <w:t xml:space="preserve">reported in Q2 2025. A result merely within the forecast range may therefore be viewed as adequate rather than exceptional, particularly if management does not improve its full-year outlook.</w:t>
      </w:r>
    </w:p>
    <w:bookmarkEnd w:id="10"/>
    <w:bookmarkStart w:id="12" w:name="X4af271459e84798cf7ba9cc418cb4b578019b9a"/>
    <w:p>
      <w:pPr>
        <w:pStyle w:val="Heading2"/>
      </w:pPr>
      <w:r>
        <w:t xml:space="preserve">1. MIS: strong issuance, but mix and outlook matter more than volume</w:t>
      </w:r>
    </w:p>
    <w:p>
      <w:pPr>
        <w:pStyle w:val="FirstParagraph"/>
      </w:pPr>
      <w:r>
        <w:t xml:space="preserve">Moody’s Investors Service should be the clear Q2 growth engine. At the Q1 call, management projected low- to mid-teens MIS revenue growth after Q1 rated issuance exceeded $2 trillion for the first time.</w:t>
      </w:r>
    </w:p>
    <w:p>
      <w:pPr>
        <w:pStyle w:val="BodyText"/>
      </w:pPr>
      <w:r>
        <w:t xml:space="preserve">Several structural drivers remain favorable:</w:t>
      </w:r>
    </w:p>
    <w:p>
      <w:pPr>
        <w:pStyle w:val="Compact"/>
        <w:numPr>
          <w:ilvl w:val="0"/>
          <w:numId w:val="1002"/>
        </w:numPr>
      </w:pPr>
      <w:r>
        <w:t xml:space="preserve">AI and data-center financing</w:t>
      </w:r>
    </w:p>
    <w:p>
      <w:pPr>
        <w:pStyle w:val="Compact"/>
        <w:numPr>
          <w:ilvl w:val="0"/>
          <w:numId w:val="1002"/>
        </w:numPr>
      </w:pPr>
      <w:r>
        <w:t xml:space="preserve">Infrastructure and energy-transition investment</w:t>
      </w:r>
    </w:p>
    <w:p>
      <w:pPr>
        <w:pStyle w:val="Compact"/>
        <w:numPr>
          <w:ilvl w:val="0"/>
          <w:numId w:val="1002"/>
        </w:numPr>
      </w:pPr>
      <w:r>
        <w:t xml:space="preserve">Refinancing requirements</w:t>
      </w:r>
    </w:p>
    <w:p>
      <w:pPr>
        <w:pStyle w:val="Compact"/>
        <w:numPr>
          <w:ilvl w:val="0"/>
          <w:numId w:val="1002"/>
        </w:numPr>
      </w:pPr>
      <w:r>
        <w:t xml:space="preserve">Private-credit growth and demand for independent credit assessment</w:t>
      </w:r>
    </w:p>
    <w:p>
      <w:pPr>
        <w:pStyle w:val="Compact"/>
        <w:numPr>
          <w:ilvl w:val="0"/>
          <w:numId w:val="1002"/>
        </w:numPr>
      </w:pPr>
      <w:r>
        <w:t xml:space="preserve">A healthier M&amp;A financing pipeline</w:t>
      </w:r>
    </w:p>
    <w:p>
      <w:pPr>
        <w:pStyle w:val="FirstParagraph"/>
      </w:pPr>
      <w:r>
        <w:t xml:space="preserve">Q1 MIS revenue rose 8%, with investment-grade and high-yield revenue up 33% and 31%, respectively. Private-credit-related ratings revenue grew more than 80%, while infrastructure finance posted one of its strongest quarters in years.</w:t>
      </w:r>
    </w:p>
    <w:p>
      <w:pPr>
        <w:pStyle w:val="BodyText"/>
      </w:pPr>
      <w:r>
        <w:t xml:space="preserve">Nevertheless,</w:t>
      </w:r>
      <w:r>
        <w:t xml:space="preserve"> </w:t>
      </w:r>
      <w:r>
        <w:rPr>
          <w:b/>
          <w:bCs/>
        </w:rPr>
        <w:t xml:space="preserve">issuance volume does not translate directly into ratings revenue</w:t>
      </w:r>
      <w:r>
        <w:t xml:space="preserve">. Hyperscalers and other large investment-grade companies frequently use pricing programs that generate lower incremental fees than less frequent or speculative-grade issuers. Investors should therefore examine:</w:t>
      </w:r>
    </w:p>
    <w:p>
      <w:pPr>
        <w:pStyle w:val="Compact"/>
        <w:numPr>
          <w:ilvl w:val="0"/>
          <w:numId w:val="1003"/>
        </w:numPr>
      </w:pPr>
      <w:r>
        <w:t xml:space="preserve">Transactional revenue growth relative to rated issuance</w:t>
      </w:r>
    </w:p>
    <w:p>
      <w:pPr>
        <w:pStyle w:val="Compact"/>
        <w:numPr>
          <w:ilvl w:val="0"/>
          <w:numId w:val="1003"/>
        </w:numPr>
      </w:pPr>
      <w:r>
        <w:t xml:space="preserve">Investment-grade versus high-yield and leveraged-loan mix</w:t>
      </w:r>
    </w:p>
    <w:p>
      <w:pPr>
        <w:pStyle w:val="Compact"/>
        <w:numPr>
          <w:ilvl w:val="0"/>
          <w:numId w:val="1003"/>
        </w:numPr>
      </w:pPr>
      <w:r>
        <w:t xml:space="preserve">M&amp;A-related financing</w:t>
      </w:r>
    </w:p>
    <w:p>
      <w:pPr>
        <w:pStyle w:val="Compact"/>
        <w:numPr>
          <w:ilvl w:val="0"/>
          <w:numId w:val="1003"/>
        </w:numPr>
      </w:pPr>
      <w:r>
        <w:t xml:space="preserve">Structured-finance activity, particularly CLOs and CMBS</w:t>
      </w:r>
    </w:p>
    <w:p>
      <w:pPr>
        <w:pStyle w:val="Compact"/>
        <w:numPr>
          <w:ilvl w:val="0"/>
          <w:numId w:val="1003"/>
        </w:numPr>
      </w:pPr>
      <w:r>
        <w:t xml:space="preserve">First-time mandates, which increased 20% in Q1</w:t>
      </w:r>
    </w:p>
    <w:p>
      <w:pPr>
        <w:pStyle w:val="Compact"/>
        <w:numPr>
          <w:ilvl w:val="0"/>
          <w:numId w:val="1003"/>
        </w:numPr>
      </w:pPr>
      <w:r>
        <w:t xml:space="preserve">Recurring ratings revenue and pricing</w:t>
      </w:r>
    </w:p>
    <w:bookmarkStart w:id="11" w:name="Xd2daa10fd8678538579872268e7a3eb9b484a6e"/>
    <w:p>
      <w:pPr>
        <w:pStyle w:val="Heading3"/>
      </w:pPr>
      <w:r>
        <w:t xml:space="preserve">The decisive issue: second-half expectations</w:t>
      </w:r>
    </w:p>
    <w:p>
      <w:pPr>
        <w:pStyle w:val="FirstParagraph"/>
      </w:pPr>
      <w:r>
        <w:t xml:space="preserve">Management previously expected rated issuance to:</w:t>
      </w:r>
    </w:p>
    <w:p>
      <w:pPr>
        <w:pStyle w:val="Compact"/>
        <w:numPr>
          <w:ilvl w:val="0"/>
          <w:numId w:val="1004"/>
        </w:numPr>
      </w:pPr>
      <w:r>
        <w:t xml:space="preserve">Decline sequentially by the mid-teens from Q1 to Q2</w:t>
      </w:r>
    </w:p>
    <w:p>
      <w:pPr>
        <w:pStyle w:val="Compact"/>
        <w:numPr>
          <w:ilvl w:val="0"/>
          <w:numId w:val="1004"/>
        </w:numPr>
      </w:pPr>
      <w:r>
        <w:t xml:space="preserve">Be approximately flat from Q2 to Q3</w:t>
      </w:r>
    </w:p>
    <w:p>
      <w:pPr>
        <w:pStyle w:val="Compact"/>
        <w:numPr>
          <w:ilvl w:val="0"/>
          <w:numId w:val="1004"/>
        </w:numPr>
      </w:pPr>
      <w:r>
        <w:t xml:space="preserve">Fall by the mid-20s from Q3 to Q4</w:t>
      </w:r>
    </w:p>
    <w:p>
      <w:pPr>
        <w:pStyle w:val="FirstParagraph"/>
      </w:pPr>
      <w:r>
        <w:t xml:space="preserve">It nevertheless expected year-over-year MIS revenue growth in every quarter, with low-double-digit growth in the first half and mid-single-digit growth in the second half.</w:t>
      </w:r>
    </w:p>
    <w:p>
      <w:pPr>
        <w:pStyle w:val="BodyText"/>
      </w:pPr>
      <w:r>
        <w:t xml:space="preserve">A strong Q2 accompanied by unchanged second-half assumptions would be constructive. A higher issuance forecast would be the clearest bullish signal. Conversely, commentary that activity was concentrated in a few issuance windows—or pulled forward from the second half—would reduce the quality of an apparent Q2 beat.</w:t>
      </w:r>
    </w:p>
    <w:bookmarkEnd w:id="11"/>
    <w:bookmarkEnd w:id="12"/>
    <w:bookmarkStart w:id="14" w:name="X5e7c3c78193448b319f16ae3a10e20e28538e7e"/>
    <w:p>
      <w:pPr>
        <w:pStyle w:val="Heading2"/>
      </w:pPr>
      <w:r>
        <w:t xml:space="preserve">2. Moody’s Analytics: ARR is more important than reported revenue</w:t>
      </w:r>
    </w:p>
    <w:p>
      <w:pPr>
        <w:pStyle w:val="FirstParagraph"/>
      </w:pPr>
      <w:r>
        <w:t xml:space="preserve">Reported MA growth will be affected by the divestitures of Learning Solutions and Regulatory Solutions. Investors should focus on</w:t>
      </w:r>
      <w:r>
        <w:t xml:space="preserve"> </w:t>
      </w:r>
      <w:r>
        <w:rPr>
          <w:b/>
          <w:bCs/>
        </w:rPr>
        <w:t xml:space="preserve">organic recurring revenue, ARR, retention, and margins</w:t>
      </w:r>
      <w:r>
        <w:t xml:space="preserve">, rather than headline segment revenue.</w:t>
      </w:r>
    </w:p>
    <w:p>
      <w:pPr>
        <w:pStyle w:val="BodyText"/>
      </w:pPr>
      <w:r>
        <w:t xml:space="preserve">Q1 MA results included:</w:t>
      </w:r>
    </w:p>
    <w:p>
      <w:pPr>
        <w:pStyle w:val="Compact"/>
        <w:numPr>
          <w:ilvl w:val="0"/>
          <w:numId w:val="1005"/>
        </w:numPr>
      </w:pPr>
      <w:r>
        <w:t xml:space="preserve">Revenue growth of 8%, or 6% organically at constant currency</w:t>
      </w:r>
    </w:p>
    <w:p>
      <w:pPr>
        <w:pStyle w:val="Compact"/>
        <w:numPr>
          <w:ilvl w:val="0"/>
          <w:numId w:val="1005"/>
        </w:numPr>
      </w:pPr>
      <w:r>
        <w:t xml:space="preserve">Recurring revenue growth of 7% organically</w:t>
      </w:r>
    </w:p>
    <w:p>
      <w:pPr>
        <w:pStyle w:val="Compact"/>
        <w:numPr>
          <w:ilvl w:val="0"/>
          <w:numId w:val="1005"/>
        </w:numPr>
      </w:pPr>
      <w:r>
        <w:t xml:space="preserve">ARR growth of 8% to $3.61 billion</w:t>
      </w:r>
    </w:p>
    <w:p>
      <w:pPr>
        <w:pStyle w:val="Compact"/>
        <w:numPr>
          <w:ilvl w:val="0"/>
          <w:numId w:val="1005"/>
        </w:numPr>
      </w:pPr>
      <w:r>
        <w:t xml:space="preserve">98% recurring revenue mix</w:t>
      </w:r>
    </w:p>
    <w:p>
      <w:pPr>
        <w:pStyle w:val="Compact"/>
        <w:numPr>
          <w:ilvl w:val="0"/>
          <w:numId w:val="1005"/>
        </w:numPr>
      </w:pPr>
      <w:r>
        <w:t xml:space="preserve">Adjusted operating margin of 32.5%, up 250 basis points</w:t>
      </w:r>
    </w:p>
    <w:p>
      <w:pPr>
        <w:pStyle w:val="FirstParagraph"/>
      </w:pPr>
      <w:r>
        <w:t xml:space="preserve">The Q2 debate is whether ARR remains near 8% or begins accelerating toward the upper portion of the high-single-digit range.</w:t>
      </w:r>
    </w:p>
    <w:bookmarkStart w:id="13" w:name="products-to-watch"/>
    <w:p>
      <w:pPr>
        <w:pStyle w:val="Heading3"/>
      </w:pPr>
      <w:r>
        <w:t xml:space="preserve">Products to watch</w:t>
      </w:r>
    </w:p>
    <w:p>
      <w:pPr>
        <w:pStyle w:val="Compact"/>
        <w:numPr>
          <w:ilvl w:val="0"/>
          <w:numId w:val="1006"/>
        </w:numPr>
      </w:pPr>
      <w:r>
        <w:rPr>
          <w:b/>
          <w:bCs/>
        </w:rPr>
        <w:t xml:space="preserve">KYC:</w:t>
      </w:r>
      <w:r>
        <w:t xml:space="preserve"> </w:t>
      </w:r>
      <w:r>
        <w:t xml:space="preserve">Q1 ARR grew 13%, with management expecting growth to rise into the mid-teens during the balance of 2026.</w:t>
      </w:r>
    </w:p>
    <w:p>
      <w:pPr>
        <w:pStyle w:val="Compact"/>
        <w:numPr>
          <w:ilvl w:val="0"/>
          <w:numId w:val="1006"/>
        </w:numPr>
      </w:pPr>
      <w:r>
        <w:rPr>
          <w:b/>
          <w:bCs/>
        </w:rPr>
        <w:t xml:space="preserve">Banking:</w:t>
      </w:r>
      <w:r>
        <w:t xml:space="preserve"> </w:t>
      </w:r>
      <w:r>
        <w:t xml:space="preserve">ARR grew 10%, supported by high-teens growth in the Lending Suite.</w:t>
      </w:r>
    </w:p>
    <w:p>
      <w:pPr>
        <w:pStyle w:val="Compact"/>
        <w:numPr>
          <w:ilvl w:val="0"/>
          <w:numId w:val="1006"/>
        </w:numPr>
      </w:pPr>
      <w:r>
        <w:rPr>
          <w:b/>
          <w:bCs/>
        </w:rPr>
        <w:t xml:space="preserve">Insurance:</w:t>
      </w:r>
      <w:r>
        <w:t xml:space="preserve"> </w:t>
      </w:r>
      <w:r>
        <w:t xml:space="preserve">ARR grew 7%, helped by cloud adoption and cross-selling through the Intelligent Risk Platform.</w:t>
      </w:r>
    </w:p>
    <w:p>
      <w:pPr>
        <w:pStyle w:val="Compact"/>
        <w:numPr>
          <w:ilvl w:val="0"/>
          <w:numId w:val="1006"/>
        </w:numPr>
      </w:pPr>
      <w:r>
        <w:rPr>
          <w:b/>
          <w:bCs/>
        </w:rPr>
        <w:t xml:space="preserve">Research &amp; Insights:</w:t>
      </w:r>
      <w:r>
        <w:t xml:space="preserve"> </w:t>
      </w:r>
      <w:r>
        <w:t xml:space="preserve">ARR grew 7%.</w:t>
      </w:r>
    </w:p>
    <w:p>
      <w:pPr>
        <w:pStyle w:val="Compact"/>
        <w:numPr>
          <w:ilvl w:val="0"/>
          <w:numId w:val="1006"/>
        </w:numPr>
      </w:pPr>
      <w:r>
        <w:rPr>
          <w:b/>
          <w:bCs/>
        </w:rPr>
        <w:t xml:space="preserve">Data &amp; Information:</w:t>
      </w:r>
      <w:r>
        <w:t xml:space="preserve"> </w:t>
      </w:r>
      <w:r>
        <w:t xml:space="preserve">ARR grew 6%, the slowest of MA’s major categories.</w:t>
      </w:r>
    </w:p>
    <w:p>
      <w:pPr>
        <w:pStyle w:val="FirstParagraph"/>
      </w:pPr>
      <w:r>
        <w:t xml:space="preserve">A favorable report would show KYC acceleration, continued double-digit Banking growth and improved Data &amp; Information momentum. Investors should also listen for customer-budget pressure or slower purchasing decisions among large financial institutions.</w:t>
      </w:r>
    </w:p>
    <w:bookmarkEnd w:id="13"/>
    <w:bookmarkEnd w:id="14"/>
    <w:bookmarkStart w:id="15" w:name="Xa284c93b83628ea9b7e52ba8d3dcfef2a7a2bd7"/>
    <w:p>
      <w:pPr>
        <w:pStyle w:val="Heading2"/>
      </w:pPr>
      <w:r>
        <w:t xml:space="preserve">3. Margins may determine the size of the earnings beat</w:t>
      </w:r>
    </w:p>
    <w:p>
      <w:pPr>
        <w:pStyle w:val="FirstParagraph"/>
      </w:pPr>
      <w:r>
        <w:t xml:space="preserve">Moody’s has demonstrated substantial operating leverage. In Q1:</w:t>
      </w:r>
    </w:p>
    <w:p>
      <w:pPr>
        <w:pStyle w:val="Compact"/>
        <w:numPr>
          <w:ilvl w:val="0"/>
          <w:numId w:val="1007"/>
        </w:numPr>
      </w:pPr>
      <w:r>
        <w:t xml:space="preserve">MCO adjusted margin expanded 150 basis points to 53.2%.</w:t>
      </w:r>
    </w:p>
    <w:p>
      <w:pPr>
        <w:pStyle w:val="Compact"/>
        <w:numPr>
          <w:ilvl w:val="0"/>
          <w:numId w:val="1007"/>
        </w:numPr>
      </w:pPr>
      <w:r>
        <w:t xml:space="preserve">MIS adjusted margin reached 66.7%.</w:t>
      </w:r>
    </w:p>
    <w:p>
      <w:pPr>
        <w:pStyle w:val="Compact"/>
        <w:numPr>
          <w:ilvl w:val="0"/>
          <w:numId w:val="1007"/>
        </w:numPr>
      </w:pPr>
      <w:r>
        <w:t xml:space="preserve">MA adjusted margin expanded 250 basis points to 32.5%.</w:t>
      </w:r>
    </w:p>
    <w:p>
      <w:pPr>
        <w:pStyle w:val="FirstParagraph"/>
      </w:pPr>
      <w:r>
        <w:t xml:space="preserve">Management expected Q2 expenses, excluding restructuring and other special items, to be broadly in line with Q1. Combined with strong MIS revenue, that creates a favorable setup for quarterly margin and EPS performance.</w:t>
      </w:r>
    </w:p>
    <w:p>
      <w:pPr>
        <w:pStyle w:val="BodyText"/>
      </w:pPr>
      <w:r>
        <w:t xml:space="preserve">The higher-quality outcome would be:</w:t>
      </w:r>
    </w:p>
    <w:p>
      <w:pPr>
        <w:pStyle w:val="Compact"/>
        <w:numPr>
          <w:ilvl w:val="0"/>
          <w:numId w:val="1008"/>
        </w:numPr>
      </w:pPr>
      <w:r>
        <w:t xml:space="preserve">MIS margin holding near the mid-60s despite continued investment</w:t>
      </w:r>
    </w:p>
    <w:p>
      <w:pPr>
        <w:pStyle w:val="Compact"/>
        <w:numPr>
          <w:ilvl w:val="0"/>
          <w:numId w:val="1008"/>
        </w:numPr>
      </w:pPr>
      <w:r>
        <w:t xml:space="preserve">MA margin stepping up sequentially</w:t>
      </w:r>
    </w:p>
    <w:p>
      <w:pPr>
        <w:pStyle w:val="Compact"/>
        <w:numPr>
          <w:ilvl w:val="0"/>
          <w:numId w:val="1008"/>
        </w:numPr>
      </w:pPr>
      <w:r>
        <w:t xml:space="preserve">Full-year MCO margin guidance of 52%–53% remaining intact or improving</w:t>
      </w:r>
    </w:p>
    <w:p>
      <w:pPr>
        <w:pStyle w:val="Compact"/>
        <w:numPr>
          <w:ilvl w:val="0"/>
          <w:numId w:val="1008"/>
        </w:numPr>
      </w:pPr>
      <w:r>
        <w:t xml:space="preserve">Confidence in MA reaching the mid- to high-30% margin range by the end of 2027</w:t>
      </w:r>
    </w:p>
    <w:p>
      <w:pPr>
        <w:pStyle w:val="FirstParagraph"/>
      </w:pPr>
      <w:r>
        <w:t xml:space="preserve">A revenue beat produced without corresponding margin upside would raise questions about compensation, AI infrastructure costs, investment intensity or other spending.</w:t>
      </w:r>
    </w:p>
    <w:bookmarkEnd w:id="15"/>
    <w:bookmarkStart w:id="16" w:name="X8613c105208003bd4e3a71186649b453441edb2"/>
    <w:p>
      <w:pPr>
        <w:pStyle w:val="Heading2"/>
      </w:pPr>
      <w:r>
        <w:t xml:space="preserve">4. AI: watch for commercial evidence, not additional partnerships</w:t>
      </w:r>
    </w:p>
    <w:p>
      <w:pPr>
        <w:pStyle w:val="FirstParagraph"/>
      </w:pPr>
      <w:r>
        <w:t xml:space="preserve">Moody’s has articulated a credible AI strategy built around:</w:t>
      </w:r>
    </w:p>
    <w:p>
      <w:pPr>
        <w:pStyle w:val="Compact"/>
        <w:numPr>
          <w:ilvl w:val="0"/>
          <w:numId w:val="1009"/>
        </w:numPr>
      </w:pPr>
      <w:r>
        <w:t xml:space="preserve">Proprietary, curated and auditable data</w:t>
      </w:r>
    </w:p>
    <w:p>
      <w:pPr>
        <w:pStyle w:val="Compact"/>
        <w:numPr>
          <w:ilvl w:val="0"/>
          <w:numId w:val="1009"/>
        </w:numPr>
      </w:pPr>
      <w:r>
        <w:t xml:space="preserve">Agentic workflows for credit, KYC and insurance</w:t>
      </w:r>
    </w:p>
    <w:p>
      <w:pPr>
        <w:pStyle w:val="Compact"/>
        <w:numPr>
          <w:ilvl w:val="0"/>
          <w:numId w:val="1009"/>
        </w:numPr>
      </w:pPr>
      <w:r>
        <w:t xml:space="preserve">Distribution through OpenAI, Anthropic, Microsoft and AWS</w:t>
      </w:r>
    </w:p>
    <w:p>
      <w:pPr>
        <w:pStyle w:val="FirstParagraph"/>
      </w:pPr>
      <w:r>
        <w:t xml:space="preserve">The company maintains its direct customer relationships and does not allow third-party models to train on its data. Its MCP and agent offerings can command premium pricing versus conventional APIs, while contracts generally include minimum subscription commitments and potential usage-based upside.</w:t>
      </w:r>
    </w:p>
    <w:p>
      <w:pPr>
        <w:pStyle w:val="BodyText"/>
      </w:pPr>
      <w:r>
        <w:t xml:space="preserve">The Q2 call should be judged on</w:t>
      </w:r>
      <w:r>
        <w:t xml:space="preserve"> </w:t>
      </w:r>
      <w:r>
        <w:rPr>
          <w:b/>
          <w:bCs/>
        </w:rPr>
        <w:t xml:space="preserve">monetization evidence</w:t>
      </w:r>
      <w:r>
        <w:t xml:space="preserve">, including:</w:t>
      </w:r>
    </w:p>
    <w:p>
      <w:pPr>
        <w:pStyle w:val="Compact"/>
        <w:numPr>
          <w:ilvl w:val="0"/>
          <w:numId w:val="1010"/>
        </w:numPr>
      </w:pPr>
      <w:r>
        <w:t xml:space="preserve">Conversion of large financial-institution trials into paid contracts</w:t>
      </w:r>
    </w:p>
    <w:p>
      <w:pPr>
        <w:pStyle w:val="Compact"/>
        <w:numPr>
          <w:ilvl w:val="0"/>
          <w:numId w:val="1010"/>
        </w:numPr>
      </w:pPr>
      <w:r>
        <w:t xml:space="preserve">Enterprise-wide data licenses</w:t>
      </w:r>
    </w:p>
    <w:p>
      <w:pPr>
        <w:pStyle w:val="Compact"/>
        <w:numPr>
          <w:ilvl w:val="0"/>
          <w:numId w:val="1010"/>
        </w:numPr>
      </w:pPr>
      <w:r>
        <w:t xml:space="preserve">Premium pricing for MCP access</w:t>
      </w:r>
    </w:p>
    <w:p>
      <w:pPr>
        <w:pStyle w:val="Compact"/>
        <w:numPr>
          <w:ilvl w:val="0"/>
          <w:numId w:val="1010"/>
        </w:numPr>
      </w:pPr>
      <w:r>
        <w:t xml:space="preserve">Higher retention or consumption among AI-enabled customers</w:t>
      </w:r>
    </w:p>
    <w:p>
      <w:pPr>
        <w:pStyle w:val="Compact"/>
        <w:numPr>
          <w:ilvl w:val="0"/>
          <w:numId w:val="1010"/>
        </w:numPr>
      </w:pPr>
      <w:r>
        <w:t xml:space="preserve">New buyer groups reached through cloud and AI partners</w:t>
      </w:r>
    </w:p>
    <w:p>
      <w:pPr>
        <w:pStyle w:val="Compact"/>
        <w:numPr>
          <w:ilvl w:val="0"/>
          <w:numId w:val="1010"/>
        </w:numPr>
      </w:pPr>
      <w:r>
        <w:t xml:space="preserve">The gross-margin effect of token and model costs</w:t>
      </w:r>
    </w:p>
    <w:p>
      <w:pPr>
        <w:pStyle w:val="FirstParagraph"/>
      </w:pPr>
      <w:r>
        <w:t xml:space="preserve">Management has said customers using Moody’s GenAI products exhibit stronger retention and consume more content. Quantification of that claim would be meaningful. Additional product announcements without contract or ARR evidence would be less consequential.</w:t>
      </w:r>
    </w:p>
    <w:bookmarkEnd w:id="16"/>
    <w:bookmarkStart w:id="18" w:name="X0cc2a148451dc95f77772e116a964ba39e88ff4"/>
    <w:p>
      <w:pPr>
        <w:pStyle w:val="Heading2"/>
      </w:pPr>
      <w:r>
        <w:t xml:space="preserve">5. Guidance is the likely stock-moving item</w:t>
      </w:r>
    </w:p>
    <w:p>
      <w:pPr>
        <w:pStyle w:val="FirstParagraph"/>
      </w:pPr>
      <w:r>
        <w:t xml:space="preserve">Moody’s entered Q2 with the following 2026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Full-year metric</w:t>
            </w:r>
          </w:p>
        </w:tc>
        <w:tc>
          <w:tcPr/>
          <w:p>
            <w:pPr>
              <w:pStyle w:val="Compact"/>
              <w:jc w:val="right"/>
            </w:pPr>
            <w:r>
              <w:t xml:space="preserve">Existing guidance</w:t>
            </w:r>
          </w:p>
        </w:tc>
      </w:tr>
      <w:tr>
        <w:tc>
          <w:tcPr/>
          <w:p>
            <w:pPr>
              <w:pStyle w:val="Compact"/>
            </w:pPr>
            <w:r>
              <w:t xml:space="preserve">MCO revenue growth</w:t>
            </w:r>
          </w:p>
        </w:tc>
        <w:tc>
          <w:tcPr/>
          <w:p>
            <w:pPr>
              <w:pStyle w:val="Compact"/>
              <w:jc w:val="right"/>
            </w:pPr>
            <w:r>
              <w:t xml:space="preserve">High-single-digit range, expected toward the lower end</w:t>
            </w:r>
          </w:p>
        </w:tc>
      </w:tr>
      <w:tr>
        <w:tc>
          <w:tcPr/>
          <w:p>
            <w:pPr>
              <w:pStyle w:val="Compact"/>
            </w:pPr>
            <w:r>
              <w:t xml:space="preserve">Adjusted diluted EPS</w:t>
            </w:r>
          </w:p>
        </w:tc>
        <w:tc>
          <w:tcPr/>
          <w:p>
            <w:pPr>
              <w:pStyle w:val="Compact"/>
              <w:jc w:val="right"/>
            </w:pPr>
            <m:oMath>
              <m:r>
                <m:t>16.40</m:t>
              </m:r>
              <m:r>
                <m:rPr>
                  <m:sty m:val="p"/>
                </m:rPr>
                <m:t>–</m:t>
              </m:r>
            </m:oMath>
            <w:r>
              <w:rPr>
                <w:b/>
                <w:bCs/>
              </w:rPr>
              <w:t xml:space="preserve">17.00</w:t>
            </w:r>
          </w:p>
        </w:tc>
      </w:tr>
      <w:tr>
        <w:tc>
          <w:tcPr/>
          <w:p>
            <w:pPr>
              <w:pStyle w:val="Compact"/>
            </w:pPr>
            <w:r>
              <w:t xml:space="preserve">Adjusted operating margin</w:t>
            </w:r>
          </w:p>
        </w:tc>
        <w:tc>
          <w:tcPr/>
          <w:p>
            <w:pPr>
              <w:pStyle w:val="Compact"/>
              <w:jc w:val="right"/>
            </w:pPr>
            <w:r>
              <w:rPr>
                <w:b/>
                <w:bCs/>
              </w:rPr>
              <w:t xml:space="preserve">52%–53%</w:t>
            </w:r>
          </w:p>
        </w:tc>
      </w:tr>
      <w:tr>
        <w:tc>
          <w:tcPr/>
          <w:p>
            <w:pPr>
              <w:pStyle w:val="Compact"/>
            </w:pPr>
            <w:r>
              <w:t xml:space="preserve">MA revenue growth</w:t>
            </w:r>
          </w:p>
        </w:tc>
        <w:tc>
          <w:tcPr/>
          <w:p>
            <w:pPr>
              <w:pStyle w:val="Compact"/>
              <w:jc w:val="right"/>
            </w:pPr>
            <w:r>
              <w:t xml:space="preserve">Mid-single-digit range</w:t>
            </w:r>
          </w:p>
        </w:tc>
      </w:tr>
      <w:tr>
        <w:tc>
          <w:tcPr/>
          <w:p>
            <w:pPr>
              <w:pStyle w:val="Compact"/>
            </w:pPr>
            <w:r>
              <w:t xml:space="preserve">MA organic constant-currency revenue growth</w:t>
            </w:r>
          </w:p>
        </w:tc>
        <w:tc>
          <w:tcPr/>
          <w:p>
            <w:pPr>
              <w:pStyle w:val="Compact"/>
              <w:jc w:val="right"/>
            </w:pPr>
            <w:r>
              <w:t xml:space="preserve">High-single-digit range</w:t>
            </w:r>
          </w:p>
        </w:tc>
      </w:tr>
      <w:tr>
        <w:tc>
          <w:tcPr/>
          <w:p>
            <w:pPr>
              <w:pStyle w:val="Compact"/>
            </w:pPr>
            <w:r>
              <w:t xml:space="preserve">MA ARR growth</w:t>
            </w:r>
          </w:p>
        </w:tc>
        <w:tc>
          <w:tcPr/>
          <w:p>
            <w:pPr>
              <w:pStyle w:val="Compact"/>
              <w:jc w:val="right"/>
            </w:pPr>
            <w:r>
              <w:t xml:space="preserve">High-single-digit range</w:t>
            </w:r>
          </w:p>
        </w:tc>
      </w:tr>
      <w:tr>
        <w:tc>
          <w:tcPr/>
          <w:p>
            <w:pPr>
              <w:pStyle w:val="Compact"/>
            </w:pPr>
            <w:r>
              <w:t xml:space="preserve">MA adjusted margin</w:t>
            </w:r>
          </w:p>
        </w:tc>
        <w:tc>
          <w:tcPr/>
          <w:p>
            <w:pPr>
              <w:pStyle w:val="Compact"/>
              <w:jc w:val="right"/>
            </w:pPr>
            <w:r>
              <w:rPr>
                <w:b/>
                <w:bCs/>
              </w:rPr>
              <w:t xml:space="preserve">34%–35%</w:t>
            </w:r>
          </w:p>
        </w:tc>
      </w:tr>
      <w:tr>
        <w:tc>
          <w:tcPr/>
          <w:p>
            <w:pPr>
              <w:pStyle w:val="Compact"/>
            </w:pPr>
            <w:r>
              <w:t xml:space="preserve">MIS revenue growth</w:t>
            </w:r>
          </w:p>
        </w:tc>
        <w:tc>
          <w:tcPr/>
          <w:p>
            <w:pPr>
              <w:pStyle w:val="Compact"/>
              <w:jc w:val="right"/>
            </w:pPr>
            <w:r>
              <w:t xml:space="preserve">High-single-digit range</w:t>
            </w:r>
          </w:p>
        </w:tc>
      </w:tr>
      <w:tr>
        <w:tc>
          <w:tcPr/>
          <w:p>
            <w:pPr>
              <w:pStyle w:val="Compact"/>
            </w:pPr>
            <w:r>
              <w:t xml:space="preserve">MIS adjusted margin</w:t>
            </w:r>
          </w:p>
        </w:tc>
        <w:tc>
          <w:tcPr/>
          <w:p>
            <w:pPr>
              <w:pStyle w:val="Compact"/>
              <w:jc w:val="right"/>
            </w:pPr>
            <w:r>
              <w:t xml:space="preserve">Approximately</w:t>
            </w:r>
            <w:r>
              <w:t xml:space="preserve"> </w:t>
            </w:r>
            <w:r>
              <w:rPr>
                <w:b/>
                <w:bCs/>
              </w:rPr>
              <w:t xml:space="preserve">65%</w:t>
            </w:r>
          </w:p>
        </w:tc>
      </w:tr>
      <w:tr>
        <w:tc>
          <w:tcPr/>
          <w:p>
            <w:pPr>
              <w:pStyle w:val="Compact"/>
            </w:pPr>
            <w:r>
              <w:t xml:space="preserve">Free cash flow</w:t>
            </w:r>
          </w:p>
        </w:tc>
        <w:tc>
          <w:tcPr/>
          <w:p>
            <w:pPr>
              <w:pStyle w:val="Compact"/>
              <w:jc w:val="right"/>
            </w:pPr>
            <m:oMath>
              <m:r>
                <m:t>2.8</m:t>
              </m:r>
              <m:r>
                <m:rPr>
                  <m:sty m:val="p"/>
                </m:rPr>
                <m:t>–</m:t>
              </m:r>
            </m:oMath>
            <w:r>
              <w:rPr>
                <w:b/>
                <w:bCs/>
              </w:rPr>
              <w:t xml:space="preserve">3.0 billion</w:t>
            </w:r>
          </w:p>
        </w:tc>
      </w:tr>
      <w:tr>
        <w:tc>
          <w:tcPr/>
          <w:p>
            <w:pPr>
              <w:pStyle w:val="Compact"/>
            </w:pPr>
            <w:r>
              <w:t xml:space="preserve">Share repurchases</w:t>
            </w:r>
          </w:p>
        </w:tc>
        <w:tc>
          <w:tcPr/>
          <w:p>
            <w:pPr>
              <w:pStyle w:val="Compact"/>
              <w:jc w:val="right"/>
            </w:pPr>
            <w:r>
              <w:t xml:space="preserve">Approximately</w:t>
            </w:r>
            <w:r>
              <w:t xml:space="preserve"> </w:t>
            </w:r>
            <w:r>
              <w:rPr>
                <w:b/>
                <w:bCs/>
              </w:rPr>
              <w:t xml:space="preserve">$2.5 billion</w:t>
            </w:r>
          </w:p>
        </w:tc>
      </w:tr>
    </w:tbl>
    <w:p>
      <w:pPr>
        <w:pStyle w:val="BodyText"/>
      </w:pPr>
      <w:r>
        <w:t xml:space="preserve">At the Q1 call, management outlined a downside case in which prolonged market volatility could reduce MIS revenue growth to the mid-single digits and push adjusted EPS toward the bottom of the annual range. Q2 should clarify whether that risk has receded.</w:t>
      </w:r>
    </w:p>
    <w:bookmarkStart w:id="17" w:name="what-would-constitute-a-positive-guide"/>
    <w:p>
      <w:pPr>
        <w:pStyle w:val="Heading3"/>
      </w:pPr>
      <w:r>
        <w:t xml:space="preserve">What would constitute a positive guide?</w:t>
      </w:r>
    </w:p>
    <w:p>
      <w:pPr>
        <w:pStyle w:val="Compact"/>
        <w:numPr>
          <w:ilvl w:val="0"/>
          <w:numId w:val="1011"/>
        </w:numPr>
      </w:pPr>
      <w:r>
        <w:t xml:space="preserve">Raising the lower end of adjusted EPS guidance</w:t>
      </w:r>
    </w:p>
    <w:p>
      <w:pPr>
        <w:pStyle w:val="Compact"/>
        <w:numPr>
          <w:ilvl w:val="0"/>
          <w:numId w:val="1011"/>
        </w:numPr>
      </w:pPr>
      <w:r>
        <w:t xml:space="preserve">Moving revenue growth away from the lower end of high single digits</w:t>
      </w:r>
    </w:p>
    <w:p>
      <w:pPr>
        <w:pStyle w:val="Compact"/>
        <w:numPr>
          <w:ilvl w:val="0"/>
          <w:numId w:val="1011"/>
        </w:numPr>
      </w:pPr>
      <w:r>
        <w:t xml:space="preserve">Increasing MIS revenue or issuance expectations</w:t>
      </w:r>
    </w:p>
    <w:p>
      <w:pPr>
        <w:pStyle w:val="Compact"/>
        <w:numPr>
          <w:ilvl w:val="0"/>
          <w:numId w:val="1011"/>
        </w:numPr>
      </w:pPr>
      <w:r>
        <w:t xml:space="preserve">Maintaining MA ARR growth despite divestiture-related headline noise</w:t>
      </w:r>
    </w:p>
    <w:p>
      <w:pPr>
        <w:pStyle w:val="Compact"/>
        <w:numPr>
          <w:ilvl w:val="0"/>
          <w:numId w:val="1011"/>
        </w:numPr>
      </w:pPr>
      <w:r>
        <w:t xml:space="preserve">Raising free-cash-flow or repurchase expectations</w:t>
      </w:r>
    </w:p>
    <w:p>
      <w:pPr>
        <w:pStyle w:val="FirstParagraph"/>
      </w:pPr>
      <w:r>
        <w:t xml:space="preserve">An EPS increase driven primarily by a lower share count would be less valuable than one supported by higher organic revenue and margins.</w:t>
      </w:r>
    </w:p>
    <w:bookmarkEnd w:id="17"/>
    <w:bookmarkEnd w:id="18"/>
    <w:bookmarkStart w:id="19" w:name="capital-allocation-and-stock-setup"/>
    <w:p>
      <w:pPr>
        <w:pStyle w:val="Heading2"/>
      </w:pPr>
      <w:r>
        <w:t xml:space="preserve">Capital allocation and stock setup</w:t>
      </w:r>
    </w:p>
    <w:p>
      <w:pPr>
        <w:pStyle w:val="FirstParagraph"/>
      </w:pPr>
      <w:r>
        <w:t xml:space="preserve">Moody’s repurchased approximately</w:t>
      </w:r>
      <w:r>
        <w:t xml:space="preserve"> </w:t>
      </w:r>
      <m:oMath>
        <m:r>
          <m:t>1.5</m:t>
        </m:r>
        <m:r>
          <m:t>b</m:t>
        </m:r>
        <m:r>
          <m:t>i</m:t>
        </m:r>
        <m:r>
          <m:t>l</m:t>
        </m:r>
        <m:r>
          <m:t>l</m:t>
        </m:r>
        <m:r>
          <m:t>i</m:t>
        </m:r>
        <m:r>
          <m:t>o</m:t>
        </m:r>
        <m:r>
          <m:t>n</m:t>
        </m:r>
        <m:r>
          <m:rPr>
            <m:sty m:val="p"/>
          </m:rPr>
          <m:t>*</m:t>
        </m:r>
        <m:r>
          <m:rPr>
            <m:sty m:val="p"/>
          </m:rPr>
          <m:t>*</m:t>
        </m:r>
        <m:r>
          <m:t>o</m:t>
        </m:r>
        <m:r>
          <m:t>f</m:t>
        </m:r>
        <m:r>
          <m:t>s</m:t>
        </m:r>
        <m:r>
          <m:t>t</m:t>
        </m:r>
        <m:r>
          <m:t>o</m:t>
        </m:r>
        <m:r>
          <m:t>c</m:t>
        </m:r>
        <m:r>
          <m:t>k</m:t>
        </m:r>
        <m:r>
          <m:t>i</m:t>
        </m:r>
        <m:r>
          <m:t>n</m:t>
        </m:r>
        <m:r>
          <m:t>Q</m:t>
        </m:r>
        <m:r>
          <m:t>1</m:t>
        </m:r>
        <m:r>
          <m:t>a</m:t>
        </m:r>
        <m:r>
          <m:t>n</m:t>
        </m:r>
        <m:r>
          <m:t>d</m:t>
        </m:r>
        <m:r>
          <m:t>i</m:t>
        </m:r>
        <m:r>
          <m:t>n</m:t>
        </m:r>
        <m:r>
          <m:t>c</m:t>
        </m:r>
        <m:r>
          <m:t>r</m:t>
        </m:r>
        <m:r>
          <m:t>e</m:t>
        </m:r>
        <m:r>
          <m:t>a</m:t>
        </m:r>
        <m:r>
          <m:t>s</m:t>
        </m:r>
        <m:r>
          <m:t>e</m:t>
        </m:r>
        <m:r>
          <m:t>d</m:t>
        </m:r>
        <m:r>
          <m:t>i</m:t>
        </m:r>
        <m:r>
          <m:t>t</m:t>
        </m:r>
        <m:r>
          <m:t>s</m:t>
        </m:r>
        <m:r>
          <m:t>f</m:t>
        </m:r>
        <m:r>
          <m:t>u</m:t>
        </m:r>
        <m:r>
          <m:t>l</m:t>
        </m:r>
        <m:r>
          <m:t>l</m:t>
        </m:r>
        <m:r>
          <m:rPr>
            <m:sty m:val="p"/>
          </m:rPr>
          <m:t>−</m:t>
        </m:r>
        <m:r>
          <m:t>y</m:t>
        </m:r>
        <m:r>
          <m:t>e</m:t>
        </m:r>
        <m:r>
          <m:t>a</m:t>
        </m:r>
        <m:r>
          <m:t>r</m:t>
        </m:r>
        <m:r>
          <m:t>b</m:t>
        </m:r>
        <m:r>
          <m:t>u</m:t>
        </m:r>
        <m:r>
          <m:t>y</m:t>
        </m:r>
        <m:r>
          <m:t>b</m:t>
        </m:r>
        <m:r>
          <m:t>a</m:t>
        </m:r>
        <m:r>
          <m:t>c</m:t>
        </m:r>
        <m:r>
          <m:t>k</m:t>
        </m:r>
        <m:r>
          <m:t>t</m:t>
        </m:r>
        <m:r>
          <m:t>a</m:t>
        </m:r>
        <m:r>
          <m:t>r</m:t>
        </m:r>
        <m:r>
          <m:t>g</m:t>
        </m:r>
        <m:r>
          <m:t>e</m:t>
        </m:r>
        <m:r>
          <m:t>t</m:t>
        </m:r>
        <m:r>
          <m:t>t</m:t>
        </m:r>
        <m:r>
          <m:t>o</m:t>
        </m:r>
        <m:r>
          <m:t>a</m:t>
        </m:r>
        <m:r>
          <m:t>p</m:t>
        </m:r>
        <m:r>
          <m:t>p</m:t>
        </m:r>
        <m:r>
          <m:t>r</m:t>
        </m:r>
        <m:r>
          <m:t>o</m:t>
        </m:r>
        <m:r>
          <m:t>x</m:t>
        </m:r>
        <m:r>
          <m:t>i</m:t>
        </m:r>
        <m:r>
          <m:t>m</m:t>
        </m:r>
        <m:r>
          <m:t>a</m:t>
        </m:r>
        <m:r>
          <m:t>t</m:t>
        </m:r>
        <m:r>
          <m:t>e</m:t>
        </m:r>
        <m:r>
          <m:t>l</m:t>
        </m:r>
        <m:r>
          <m:t>y</m:t>
        </m:r>
        <m:r>
          <m:rPr>
            <m:sty m:val="p"/>
          </m:rPr>
          <m:t>*</m:t>
        </m:r>
        <m:r>
          <m:rPr>
            <m:sty m:val="p"/>
          </m:rPr>
          <m:t>*</m:t>
        </m:r>
      </m:oMath>
      <w:r>
        <w:rPr>
          <w:b/>
          <w:bCs/>
        </w:rPr>
        <w:t xml:space="preserve">2.5 billion</w:t>
      </w:r>
      <w:r>
        <w:t xml:space="preserve">. Q1 free cash flow rose 26% to $844 million, supporting both repurchases and continued investment.</w:t>
      </w:r>
    </w:p>
    <w:p>
      <w:pPr>
        <w:pStyle w:val="BodyText"/>
      </w:pPr>
      <w:r>
        <w:t xml:space="preserve">MCO closed at</w:t>
      </w:r>
      <w:r>
        <w:t xml:space="preserve"> </w:t>
      </w:r>
      <w:r>
        <w:rPr>
          <w:b/>
          <w:bCs/>
        </w:rPr>
        <w:t xml:space="preserve">$490.81 on July 21</w:t>
      </w:r>
      <w:r>
        <w:t xml:space="preserve">, roughly flat compared with the beginning of 2026 and approximately 5% above its closing price on the Q1 reporting date. The shares have not enjoyed a major year-to-date rerating, but investors still tend to assign Moody’s a premium for its market position, recurring revenue and margins. That makes forward guidance and the durability of issuance more important than a modest quarterly beat.</w:t>
      </w:r>
    </w:p>
    <w:bookmarkEnd w:id="19"/>
    <w:bookmarkStart w:id="23" w:name="scenario-framework"/>
    <w:p>
      <w:pPr>
        <w:pStyle w:val="Heading2"/>
      </w:pPr>
      <w:r>
        <w:t xml:space="preserve">Scenario framework</w:t>
      </w:r>
    </w:p>
    <w:bookmarkStart w:id="20" w:name="bull-case"/>
    <w:p>
      <w:pPr>
        <w:pStyle w:val="Heading3"/>
      </w:pPr>
      <w:r>
        <w:t xml:space="preserve">Bull case</w:t>
      </w:r>
    </w:p>
    <w:p>
      <w:pPr>
        <w:pStyle w:val="Compact"/>
        <w:numPr>
          <w:ilvl w:val="0"/>
          <w:numId w:val="1012"/>
        </w:numPr>
      </w:pPr>
      <w:r>
        <w:t xml:space="preserve">Adjusted EPS exceeds $4.30.</w:t>
      </w:r>
    </w:p>
    <w:p>
      <w:pPr>
        <w:pStyle w:val="Compact"/>
        <w:numPr>
          <w:ilvl w:val="0"/>
          <w:numId w:val="1012"/>
        </w:numPr>
      </w:pPr>
      <w:r>
        <w:t xml:space="preserve">MIS growth reaches or exceeds the high end of the low- to mid-teens range.</w:t>
      </w:r>
    </w:p>
    <w:p>
      <w:pPr>
        <w:pStyle w:val="Compact"/>
        <w:numPr>
          <w:ilvl w:val="0"/>
          <w:numId w:val="1012"/>
        </w:numPr>
      </w:pPr>
      <w:r>
        <w:t xml:space="preserve">Issuance and M&amp;A financing expectations improve.</w:t>
      </w:r>
    </w:p>
    <w:p>
      <w:pPr>
        <w:pStyle w:val="Compact"/>
        <w:numPr>
          <w:ilvl w:val="0"/>
          <w:numId w:val="1012"/>
        </w:numPr>
      </w:pPr>
      <w:r>
        <w:t xml:space="preserve">MA ARR accelerates above 8%.</w:t>
      </w:r>
    </w:p>
    <w:p>
      <w:pPr>
        <w:pStyle w:val="Compact"/>
        <w:numPr>
          <w:ilvl w:val="0"/>
          <w:numId w:val="1012"/>
        </w:numPr>
      </w:pPr>
      <w:r>
        <w:t xml:space="preserve">Both segment margins outperform.</w:t>
      </w:r>
    </w:p>
    <w:p>
      <w:pPr>
        <w:pStyle w:val="Compact"/>
        <w:numPr>
          <w:ilvl w:val="0"/>
          <w:numId w:val="1012"/>
        </w:numPr>
      </w:pPr>
      <w:r>
        <w:t xml:space="preserve">Management raises the lower end of full-year EPS guidance.</w:t>
      </w:r>
    </w:p>
    <w:bookmarkEnd w:id="20"/>
    <w:bookmarkStart w:id="21" w:name="base-case"/>
    <w:p>
      <w:pPr>
        <w:pStyle w:val="Heading3"/>
      </w:pPr>
      <w:r>
        <w:t xml:space="preserve">Base case</w:t>
      </w:r>
    </w:p>
    <w:p>
      <w:pPr>
        <w:pStyle w:val="Compact"/>
        <w:numPr>
          <w:ilvl w:val="0"/>
          <w:numId w:val="1013"/>
        </w:numPr>
      </w:pPr>
      <w:r>
        <w:t xml:space="preserve">EPS lands near the upper half of the</w:t>
      </w:r>
      <w:r>
        <w:t xml:space="preserve"> </w:t>
      </w:r>
      <m:oMath>
        <m:r>
          <m:t>4.15</m:t>
        </m:r>
        <m:r>
          <m:rPr>
            <m:sty m:val="p"/>
          </m:rPr>
          <m:t>–</m:t>
        </m:r>
      </m:oMath>
      <w:r>
        <w:t xml:space="preserve">4.30 range.</w:t>
      </w:r>
    </w:p>
    <w:p>
      <w:pPr>
        <w:pStyle w:val="Compact"/>
        <w:numPr>
          <w:ilvl w:val="0"/>
          <w:numId w:val="1013"/>
        </w:numPr>
      </w:pPr>
      <w:r>
        <w:t xml:space="preserve">MIS delivers low-teens growth.</w:t>
      </w:r>
    </w:p>
    <w:p>
      <w:pPr>
        <w:pStyle w:val="Compact"/>
        <w:numPr>
          <w:ilvl w:val="0"/>
          <w:numId w:val="1013"/>
        </w:numPr>
      </w:pPr>
      <w:r>
        <w:t xml:space="preserve">MA ARR remains around 8%.</w:t>
      </w:r>
    </w:p>
    <w:p>
      <w:pPr>
        <w:pStyle w:val="Compact"/>
        <w:numPr>
          <w:ilvl w:val="0"/>
          <w:numId w:val="1013"/>
        </w:numPr>
      </w:pPr>
      <w:r>
        <w:t xml:space="preserve">Full-year guidance is reiterated, with improved confidence in the current range.</w:t>
      </w:r>
    </w:p>
    <w:bookmarkEnd w:id="21"/>
    <w:bookmarkStart w:id="22" w:name="bear-case"/>
    <w:p>
      <w:pPr>
        <w:pStyle w:val="Heading3"/>
      </w:pPr>
      <w:r>
        <w:t xml:space="preserve">Bear case</w:t>
      </w:r>
    </w:p>
    <w:p>
      <w:pPr>
        <w:pStyle w:val="Compact"/>
        <w:numPr>
          <w:ilvl w:val="0"/>
          <w:numId w:val="1014"/>
        </w:numPr>
      </w:pPr>
      <w:r>
        <w:t xml:space="preserve">Issuance volume is strong but revenue conversion disappoints because of mix.</w:t>
      </w:r>
    </w:p>
    <w:p>
      <w:pPr>
        <w:pStyle w:val="Compact"/>
        <w:numPr>
          <w:ilvl w:val="0"/>
          <w:numId w:val="1014"/>
        </w:numPr>
      </w:pPr>
      <w:r>
        <w:t xml:space="preserve">Management identifies pull-forward or weaker Q3/Q4 pipelines.</w:t>
      </w:r>
    </w:p>
    <w:p>
      <w:pPr>
        <w:pStyle w:val="Compact"/>
        <w:numPr>
          <w:ilvl w:val="0"/>
          <w:numId w:val="1014"/>
        </w:numPr>
      </w:pPr>
      <w:r>
        <w:t xml:space="preserve">MA ARR falls below the high-single-digit trajectory.</w:t>
      </w:r>
    </w:p>
    <w:p>
      <w:pPr>
        <w:pStyle w:val="Compact"/>
        <w:numPr>
          <w:ilvl w:val="0"/>
          <w:numId w:val="1014"/>
        </w:numPr>
      </w:pPr>
      <w:r>
        <w:t xml:space="preserve">Costs prevent expected margin leverage.</w:t>
      </w:r>
    </w:p>
    <w:p>
      <w:pPr>
        <w:pStyle w:val="Compact"/>
        <w:numPr>
          <w:ilvl w:val="0"/>
          <w:numId w:val="1014"/>
        </w:numPr>
      </w:pPr>
      <w:r>
        <w:t xml:space="preserve">Full-year adjusted EPS remains unchanged but commentary points toward the lower end—or guidance is reduced.</w:t>
      </w:r>
    </w:p>
    <w:bookmarkEnd w:id="22"/>
    <w:bookmarkEnd w:id="23"/>
    <w:bookmarkStart w:id="24" w:name="bottom-line"/>
    <w:p>
      <w:pPr>
        <w:pStyle w:val="Heading2"/>
      </w:pPr>
      <w:r>
        <w:t xml:space="preserve">Bottom line</w:t>
      </w:r>
    </w:p>
    <w:p>
      <w:pPr>
        <w:pStyle w:val="FirstParagraph"/>
      </w:pPr>
      <w:r>
        <w:t xml:space="preserve">The Q2 setup is fundamentally favorable, with MIS benefiting from strong capital-market activity and MA providing a durable recurring-revenue base. The likely quarterly growth is already well signaled, however. The stock’s response should hinge on whether Moody’s can demonstrate that:</w:t>
      </w:r>
    </w:p>
    <w:p>
      <w:pPr>
        <w:pStyle w:val="Compact"/>
        <w:numPr>
          <w:ilvl w:val="0"/>
          <w:numId w:val="1015"/>
        </w:numPr>
      </w:pPr>
      <w:r>
        <w:t xml:space="preserve">ratings strength extends beyond a few jumbo investment-grade deals;</w:t>
      </w:r>
    </w:p>
    <w:p>
      <w:pPr>
        <w:pStyle w:val="Compact"/>
        <w:numPr>
          <w:ilvl w:val="0"/>
          <w:numId w:val="1015"/>
        </w:numPr>
      </w:pPr>
      <w:r>
        <w:t xml:space="preserve">MA ARR is accelerating rather than merely stable;</w:t>
      </w:r>
    </w:p>
    <w:p>
      <w:pPr>
        <w:pStyle w:val="Compact"/>
        <w:numPr>
          <w:ilvl w:val="0"/>
          <w:numId w:val="1015"/>
        </w:numPr>
      </w:pPr>
      <w:r>
        <w:t xml:space="preserve">AI initiatives are beginning to generate incremental contract value;</w:t>
      </w:r>
    </w:p>
    <w:p>
      <w:pPr>
        <w:pStyle w:val="Compact"/>
        <w:numPr>
          <w:ilvl w:val="0"/>
          <w:numId w:val="1015"/>
        </w:numPr>
      </w:pPr>
      <w:r>
        <w:t xml:space="preserve">margin gains remain structural; and</w:t>
      </w:r>
    </w:p>
    <w:p>
      <w:pPr>
        <w:pStyle w:val="Compact"/>
        <w:numPr>
          <w:ilvl w:val="0"/>
          <w:numId w:val="1015"/>
        </w:numPr>
      </w:pPr>
      <w:r>
        <w:t xml:space="preserve">the second-half issuance outlook supports at least the midpoint of the</w:t>
      </w:r>
      <w:r>
        <w:t xml:space="preserve"> </w:t>
      </w:r>
      <m:oMath>
        <m:r>
          <m:t>16.40</m:t>
        </m:r>
        <m:r>
          <m:rPr>
            <m:sty m:val="p"/>
          </m:rPr>
          <m:t>–</m:t>
        </m:r>
      </m:oMath>
      <w:r>
        <w:rPr>
          <w:b/>
          <w:bCs/>
        </w:rPr>
        <w:t xml:space="preserve">17.00</w:t>
      </w:r>
      <w:r>
        <w:t xml:space="preserve"> </w:t>
      </w:r>
      <w:r>
        <w:t xml:space="preserve">adjusted EPS range.</w:t>
      </w:r>
    </w:p>
    <w:p>
      <w:pPr>
        <w:pStyle w:val="FirstParagraph"/>
      </w:pPr>
      <w:r>
        <w:t xml:space="preserve">The cleanest positive outcome would be a strong MIS quarter, MA ARR above 8%, continued margin expansion and an increase to the bottom half of full-year EPS guidance.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2026-07-22T00:25:54Z</dcterms:created>
  <dcterms:modified xsi:type="dcterms:W3CDTF">2026-07-22T00:25:54Z</dcterms:modified>
</cp:coreProperties>
</file>

<file path=docProps/custom.xml><?xml version="1.0" encoding="utf-8"?>
<Properties xmlns="http://schemas.openxmlformats.org/officeDocument/2006/custom-properties" xmlns:vt="http://schemas.openxmlformats.org/officeDocument/2006/docPropsVTypes"/>
</file>