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o-earnings-predictions--2026-07-22"/>
    <w:p>
      <w:pPr>
        <w:pStyle w:val="Heading1"/>
      </w:pPr>
      <w:r>
        <w:t xml:space="preserve">MCO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~$4.31 vs. cons $4.23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~$2.12B vs. cons $2.09B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Moody's Investors Service (MIS)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~$1.17B vs. cons $1.15B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16.40</m:t>
              </m:r>
              <m:r>
                <m:rPr>
                  <m:sty m:val="p"/>
                </m:rPr>
                <m:t>−</m:t>
              </m:r>
            </m:oMath>
            <w:r>
              <w:t xml:space="preserve">17.00 vs. cons $16.71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MIS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 vs. cons 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MA ARR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 vs. cons 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~$4.31 EPS print versus</w:t>
            </w:r>
            <w:r>
              <w:t xml:space="preserve"> </w:t>
            </w:r>
            <m:oMath>
              <m:r>
                <m:t>4.23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2.12B revenue versus</w:t>
            </w:r>
            <w:r>
              <w:t xml:space="preserve"> </w:t>
            </w:r>
            <m:oMath>
              <m:r>
                <m:t>2.09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r</m:t>
              </m:r>
              <m:r>
                <m:t>e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s</m:t>
              </m:r>
              <m:r>
                <m:t>o</m:t>
              </m:r>
              <m:r>
                <m:t>l</m:t>
              </m:r>
              <m:r>
                <m:t>i</m:t>
              </m:r>
              <m:r>
                <m:t>d</m:t>
              </m:r>
              <m:r>
                <m:t>i</m:t>
              </m:r>
              <m:r>
                <m:t>s</m:t>
              </m:r>
              <m:r>
                <m:t>s</m:t>
              </m:r>
              <m:r>
                <m:t>u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16.40-$17.00 FY EPS framework versus $16.71 consensus limits out-period estimate revisions; the initial ~+1.8% residual is likely to fade toward ~+0.8%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2026-07-22T00:24:48Z</dcterms:created>
  <dcterms:modified xsi:type="dcterms:W3CDTF">2026-07-22T00:24:48Z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