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moodys-nyse-mco--2q26-earnings-preview"/>
    <w:p>
      <w:pPr>
        <w:pStyle w:val="Heading1"/>
      </w:pPr>
      <w:r>
        <w:t xml:space="preserve">Moody’s (NYSE: MCO) — 2Q26 Earnings Preview</w:t>
      </w:r>
    </w:p>
    <w:p>
      <w:pPr>
        <w:pStyle w:val="BlockText"/>
      </w:pPr>
      <w:r>
        <w:rPr>
          <w:b/>
          <w:bCs/>
        </w:rPr>
        <w:t xml:space="preserve">Date note:</w:t>
      </w:r>
      <w:r>
        <w:t xml:space="preserve"> </w:t>
      </w:r>
      <w:r>
        <w:t xml:space="preserve">The event information provided lists the 2026Q2 earnings call as</w:t>
      </w:r>
      <w:r>
        <w:t xml:space="preserve"> </w:t>
      </w:r>
      <w:r>
        <w:rPr>
          <w:b/>
          <w:bCs/>
        </w:rPr>
        <w:t xml:space="preserve">July 22, 2026</w:t>
      </w:r>
      <w:r>
        <w:t xml:space="preserve">, while today is also</w:t>
      </w:r>
      <w:r>
        <w:t xml:space="preserve"> </w:t>
      </w:r>
      <w:r>
        <w:rPr>
          <w:b/>
          <w:bCs/>
        </w:rPr>
        <w:t xml:space="preserve">July 22, 2026</w:t>
      </w:r>
      <w:r>
        <w:t xml:space="preserve">; “tomorrow” would be</w:t>
      </w:r>
      <w:r>
        <w:t xml:space="preserve"> </w:t>
      </w:r>
      <w:r>
        <w:rPr>
          <w:b/>
          <w:bCs/>
        </w:rPr>
        <w:t xml:space="preserve">July 23, 2026</w:t>
      </w:r>
      <w:r>
        <w:t xml:space="preserve">. This preview treats the report as imminent and focuses on the setup going into the release.</w:t>
      </w:r>
    </w:p>
    <w:bookmarkStart w:id="9" w:name="X6f826a4de742acf576a26feac7324dee142724a"/>
    <w:p>
      <w:pPr>
        <w:pStyle w:val="Heading2"/>
      </w:pPr>
      <w:r>
        <w:t xml:space="preserve">Investment view: the setup is strong, but expectations likely are too</w:t>
      </w:r>
    </w:p>
    <w:p>
      <w:pPr>
        <w:pStyle w:val="FirstParagraph"/>
      </w:pPr>
      <w:r>
        <w:t xml:space="preserve">Moody’s enters 2Q with two favorable drivers:</w:t>
      </w:r>
      <w:r>
        <w:t xml:space="preserve"> </w:t>
      </w:r>
      <w:r>
        <w:rPr>
          <w:b/>
          <w:bCs/>
        </w:rPr>
        <w:t xml:space="preserve">healthy ratings-market activity</w:t>
      </w:r>
      <w:r>
        <w:t xml:space="preserve"> </w:t>
      </w:r>
      <w:r>
        <w:t xml:space="preserve">supporting Moody’s Investors Service (MIS), and continued</w:t>
      </w:r>
      <w:r>
        <w:t xml:space="preserve"> </w:t>
      </w:r>
      <w:r>
        <w:rPr>
          <w:b/>
          <w:bCs/>
        </w:rPr>
        <w:t xml:space="preserve">recurring-revenue / margin expansion</w:t>
      </w:r>
      <w:r>
        <w:t xml:space="preserve"> </w:t>
      </w:r>
      <w:r>
        <w:t xml:space="preserve">at Moody’s Analytics (MA). The central question is no longer whether the company can grow—it is whether 2Q results and commentary support a sustained</w:t>
      </w:r>
      <w:r>
        <w:t xml:space="preserve"> </w:t>
      </w:r>
      <w:r>
        <w:rPr>
          <w:b/>
          <w:bCs/>
        </w:rPr>
        <w:t xml:space="preserve">high-single-digit consolidated growth</w:t>
      </w:r>
      <w:r>
        <w:t xml:space="preserve"> </w:t>
      </w:r>
      <w:r>
        <w:t xml:space="preserve">outlook despite geopolitical and capital-markets volatility.</w:t>
      </w:r>
    </w:p>
    <w:p>
      <w:pPr>
        <w:pStyle w:val="BodyText"/>
      </w:pPr>
      <w:r>
        <w:t xml:space="preserve">The stock has also rallied into the event: it closed at</w:t>
      </w:r>
      <w:r>
        <w:t xml:space="preserve"> </w:t>
      </w:r>
      <w:r>
        <w:rPr>
          <w:b/>
          <w:bCs/>
        </w:rPr>
        <w:t xml:space="preserve">$490.81 on July 21</w:t>
      </w:r>
      <w:r>
        <w:t xml:space="preserve">, up roughly</w:t>
      </w:r>
      <w:r>
        <w:t xml:space="preserve"> </w:t>
      </w:r>
      <w:r>
        <w:rPr>
          <w:b/>
          <w:bCs/>
        </w:rPr>
        <w:t xml:space="preserve">6.8%</w:t>
      </w:r>
      <w:r>
        <w:t xml:space="preserve"> </w:t>
      </w:r>
      <w:r>
        <w:t xml:space="preserve">from $459.59 immediately before 1Q earnings, after reaching $519.02 on July 16. That makes the bar more dependent on a clean MIS outcome, durable MA ARR growth, and an unchanged or improved full-year outlook.</w:t>
      </w:r>
    </w:p>
    <w:bookmarkEnd w:id="9"/>
    <w:bookmarkStart w:id="10" w:name="Xeb8be722180c4f30cdf5a3aff02f60f7c575ded"/>
    <w:p>
      <w:pPr>
        <w:pStyle w:val="Heading2"/>
      </w:pPr>
      <w:r>
        <w:t xml:space="preserve">What management has already guided for 2Q</w:t>
      </w:r>
    </w:p>
    <w:p>
      <w:pPr>
        <w:pStyle w:val="FirstParagraph"/>
      </w:pPr>
      <w:r>
        <w:t xml:space="preserve">At 1Q earnings, Moody’s framed a relatively constructive near-term setup:</w:t>
      </w:r>
    </w:p>
    <w:p>
      <w:pPr>
        <w:pStyle w:val="Compact"/>
        <w:numPr>
          <w:ilvl w:val="0"/>
          <w:numId w:val="1001"/>
        </w:numPr>
      </w:pPr>
      <w:r>
        <w:rPr>
          <w:b/>
          <w:bCs/>
        </w:rPr>
        <w:t xml:space="preserve">MIS revenue:</w:t>
      </w:r>
      <w:r>
        <w:t xml:space="preserve"> </w:t>
      </w:r>
      <w:r>
        <w:t xml:space="preserve">expected to grow</w:t>
      </w:r>
      <w:r>
        <w:t xml:space="preserve"> </w:t>
      </w:r>
      <w:r>
        <w:rPr>
          <w:b/>
          <w:bCs/>
        </w:rPr>
        <w:t xml:space="preserve">low- to mid-teens year over year</w:t>
      </w:r>
      <w:r>
        <w:t xml:space="preserve"> </w:t>
      </w:r>
      <w:r>
        <w:t xml:space="preserve">in 2Q.</w:t>
      </w:r>
    </w:p>
    <w:p>
      <w:pPr>
        <w:pStyle w:val="Compact"/>
        <w:numPr>
          <w:ilvl w:val="0"/>
          <w:numId w:val="1001"/>
        </w:numPr>
      </w:pPr>
      <w:r>
        <w:rPr>
          <w:b/>
          <w:bCs/>
        </w:rPr>
        <w:t xml:space="preserve">Adjusted diluted EPS:</w:t>
      </w:r>
      <w:r>
        <w:t xml:space="preserve"> </w:t>
      </w:r>
      <w:r>
        <w:t xml:space="preserve">expected at approximately</w:t>
      </w:r>
      <w:r>
        <w:t xml:space="preserve"> </w:t>
      </w:r>
      <m:oMath>
        <m:r>
          <m:t>4.15</m:t>
        </m:r>
        <m:r>
          <m:rPr>
            <m:sty m:val="p"/>
          </m:rPr>
          <m:t>–</m:t>
        </m:r>
      </m:oMath>
      <w:r>
        <w:rPr>
          <w:b/>
          <w:bCs/>
        </w:rPr>
        <w:t xml:space="preserve">4.30</w:t>
      </w:r>
      <w:r>
        <w:t xml:space="preserve">.</w:t>
      </w:r>
    </w:p>
    <w:p>
      <w:pPr>
        <w:pStyle w:val="Compact"/>
        <w:numPr>
          <w:ilvl w:val="0"/>
          <w:numId w:val="1001"/>
        </w:numPr>
      </w:pPr>
      <w:r>
        <w:rPr>
          <w:b/>
          <w:bCs/>
        </w:rPr>
        <w:t xml:space="preserve">Consolidated adjusted operating margin:</w:t>
      </w:r>
      <w:r>
        <w:t xml:space="preserve"> </w:t>
      </w:r>
      <w:r>
        <w:t xml:space="preserve">expected to be</w:t>
      </w:r>
      <w:r>
        <w:t xml:space="preserve"> </w:t>
      </w:r>
      <w:r>
        <w:rPr>
          <w:b/>
          <w:bCs/>
        </w:rPr>
        <w:t xml:space="preserve">above the midpoint</w:t>
      </w:r>
      <w:r>
        <w:t xml:space="preserve"> </w:t>
      </w:r>
      <w:r>
        <w:t xml:space="preserve">of the full-year 52%–53% range in both 2Q and 3Q.</w:t>
      </w:r>
    </w:p>
    <w:p>
      <w:pPr>
        <w:pStyle w:val="Compact"/>
        <w:numPr>
          <w:ilvl w:val="0"/>
          <w:numId w:val="1001"/>
        </w:numPr>
      </w:pPr>
      <w:r>
        <w:rPr>
          <w:b/>
          <w:bCs/>
        </w:rPr>
        <w:t xml:space="preserve">MA margin:</w:t>
      </w:r>
      <w:r>
        <w:t xml:space="preserve"> </w:t>
      </w:r>
      <w:r>
        <w:t xml:space="preserve">expected to show a modest sequential improvement in 2Q, with a more meaningful step-up in the second half.</w:t>
      </w:r>
    </w:p>
    <w:p>
      <w:pPr>
        <w:pStyle w:val="Compact"/>
        <w:numPr>
          <w:ilvl w:val="0"/>
          <w:numId w:val="1001"/>
        </w:numPr>
      </w:pPr>
      <w:r>
        <w:rPr>
          <w:b/>
          <w:bCs/>
        </w:rPr>
        <w:t xml:space="preserve">Expenses:</w:t>
      </w:r>
      <w:r>
        <w:t xml:space="preserve"> </w:t>
      </w:r>
      <w:r>
        <w:t xml:space="preserve">expected to be broadly in line with 1Q before rising in the back half because of normal seasonality, investment, and annual compensation effects.</w:t>
      </w:r>
    </w:p>
    <w:p>
      <w:pPr>
        <w:pStyle w:val="Compact"/>
        <w:numPr>
          <w:ilvl w:val="0"/>
          <w:numId w:val="1001"/>
        </w:numPr>
      </w:pPr>
      <w:r>
        <w:rPr>
          <w:b/>
          <w:bCs/>
        </w:rPr>
        <w:t xml:space="preserve">Tax rate:</w:t>
      </w:r>
      <w:r>
        <w:t xml:space="preserve"> </w:t>
      </w:r>
      <w:r>
        <w:t xml:space="preserve">expected at the high end of the company’s 23%–25% full-year range.</w:t>
      </w:r>
    </w:p>
    <w:p>
      <w:pPr>
        <w:pStyle w:val="FirstParagraph"/>
      </w:pPr>
      <w:r>
        <w:t xml:space="preserve">The primary earnings debate, therefore, should be whether</w:t>
      </w:r>
      <w:r>
        <w:t xml:space="preserve"> </w:t>
      </w:r>
      <w:r>
        <w:rPr>
          <w:b/>
          <w:bCs/>
        </w:rPr>
        <w:t xml:space="preserve">MIS can meet its low-/mid-teens 2Q growth guide</w:t>
      </w:r>
      <w:r>
        <w:t xml:space="preserve"> </w:t>
      </w:r>
      <w:r>
        <w:t xml:space="preserve">and whether Moody’s retains confidence that issuance demand postponed during volatile periods has returned rather than merely shifted further out.</w:t>
      </w:r>
    </w:p>
    <w:bookmarkEnd w:id="10"/>
    <w:bookmarkStart w:id="14" w:name="why-the-quarter-should-be-good"/>
    <w:p>
      <w:pPr>
        <w:pStyle w:val="Heading2"/>
      </w:pPr>
      <w:r>
        <w:t xml:space="preserve">Why the quarter should be good</w:t>
      </w:r>
    </w:p>
    <w:bookmarkStart w:id="11" w:name="Xfadbb1ba42762393130c7c7fc611a153e3dd1ef"/>
    <w:p>
      <w:pPr>
        <w:pStyle w:val="Heading3"/>
      </w:pPr>
      <w:r>
        <w:t xml:space="preserve">1. MIS has favorable structural demand, not just a cyclical issuance tailwind</w:t>
      </w:r>
    </w:p>
    <w:p>
      <w:pPr>
        <w:pStyle w:val="FirstParagraph"/>
      </w:pPr>
      <w:r>
        <w:t xml:space="preserve">In 1Q, MIS delivered a record $1.153 billion of revenue, up 8%, despite a more volatile market backdrop late in the quarter. The underlying drivers were broad:</w:t>
      </w:r>
    </w:p>
    <w:p>
      <w:pPr>
        <w:pStyle w:val="Compact"/>
        <w:numPr>
          <w:ilvl w:val="0"/>
          <w:numId w:val="1002"/>
        </w:numPr>
      </w:pPr>
      <w:r>
        <w:t xml:space="preserve">Investment-grade revenue rose</w:t>
      </w:r>
      <w:r>
        <w:t xml:space="preserve"> </w:t>
      </w:r>
      <w:r>
        <w:rPr>
          <w:b/>
          <w:bCs/>
        </w:rPr>
        <w:t xml:space="preserve">33%</w:t>
      </w:r>
      <w:r>
        <w:t xml:space="preserve">, aided by large technology and hyperscaler financings.</w:t>
      </w:r>
    </w:p>
    <w:p>
      <w:pPr>
        <w:pStyle w:val="Compact"/>
        <w:numPr>
          <w:ilvl w:val="0"/>
          <w:numId w:val="1002"/>
        </w:numPr>
      </w:pPr>
      <w:r>
        <w:t xml:space="preserve">High-yield revenue rose</w:t>
      </w:r>
      <w:r>
        <w:t xml:space="preserve"> </w:t>
      </w:r>
      <w:r>
        <w:rPr>
          <w:b/>
          <w:bCs/>
        </w:rPr>
        <w:t xml:space="preserve">31%</w:t>
      </w:r>
      <w:r>
        <w:t xml:space="preserve">.</w:t>
      </w:r>
    </w:p>
    <w:p>
      <w:pPr>
        <w:pStyle w:val="Compact"/>
        <w:numPr>
          <w:ilvl w:val="0"/>
          <w:numId w:val="1002"/>
        </w:numPr>
      </w:pPr>
      <w:r>
        <w:t xml:space="preserve">Public, Project &amp; Infrastructure Finance grew</w:t>
      </w:r>
      <w:r>
        <w:t xml:space="preserve"> </w:t>
      </w:r>
      <w:r>
        <w:rPr>
          <w:b/>
          <w:bCs/>
        </w:rPr>
        <w:t xml:space="preserve">8%</w:t>
      </w:r>
      <w:r>
        <w:t xml:space="preserve">, driven by infrastructure, energy-transition, transportation, and AI/data-center investment.</w:t>
      </w:r>
    </w:p>
    <w:p>
      <w:pPr>
        <w:pStyle w:val="Compact"/>
        <w:numPr>
          <w:ilvl w:val="0"/>
          <w:numId w:val="1002"/>
        </w:numPr>
      </w:pPr>
      <w:r>
        <w:t xml:space="preserve">Private-credit-related ratings revenue increased by more than</w:t>
      </w:r>
      <w:r>
        <w:t xml:space="preserve"> </w:t>
      </w:r>
      <w:r>
        <w:rPr>
          <w:b/>
          <w:bCs/>
        </w:rPr>
        <w:t xml:space="preserve">80%</w:t>
      </w:r>
      <w:r>
        <w:t xml:space="preserve">, according to management.</w:t>
      </w:r>
    </w:p>
    <w:p>
      <w:pPr>
        <w:pStyle w:val="FirstParagraph"/>
      </w:pPr>
      <w:r>
        <w:t xml:space="preserve">The key positive for 2Q is that Moody’s sees funding needs tied to AI infrastructure, refinancing, M&amp;A, private credit, and energy transition as</w:t>
      </w:r>
      <w:r>
        <w:t xml:space="preserve"> </w:t>
      </w:r>
      <w:r>
        <w:rPr>
          <w:b/>
          <w:bCs/>
        </w:rPr>
        <w:t xml:space="preserve">multi-year</w:t>
      </w:r>
      <w:r>
        <w:t xml:space="preserve"> </w:t>
      </w:r>
      <w:r>
        <w:t xml:space="preserve">rather than one-off. Even if issuance windows have been uneven, the demand to finance remains.</w:t>
      </w:r>
    </w:p>
    <w:bookmarkEnd w:id="11"/>
    <w:bookmarkStart w:id="12" w:name="X6ffc876e88f63543b3a24504a377319be6d5649"/>
    <w:p>
      <w:pPr>
        <w:pStyle w:val="Heading3"/>
      </w:pPr>
      <w:r>
        <w:t xml:space="preserve">2. MA is becoming a higher-quality recurring business</w:t>
      </w:r>
    </w:p>
    <w:p>
      <w:pPr>
        <w:pStyle w:val="FirstParagraph"/>
      </w:pPr>
      <w:r>
        <w:t xml:space="preserve">MA reported 1Q revenue growth of 8%, or 6% organic constant currency, while recurring revenue rose 11% reported and comprised</w:t>
      </w:r>
      <w:r>
        <w:t xml:space="preserve"> </w:t>
      </w:r>
      <w:r>
        <w:rPr>
          <w:b/>
          <w:bCs/>
        </w:rPr>
        <w:t xml:space="preserve">98% of segment revenue</w:t>
      </w:r>
      <w:r>
        <w:t xml:space="preserve">. ARR ended the quarter at</w:t>
      </w:r>
      <w:r>
        <w:t xml:space="preserve"> </w:t>
      </w:r>
      <w:r>
        <w:rPr>
          <w:b/>
          <w:bCs/>
        </w:rPr>
        <w:t xml:space="preserve">$3.607 billion</w:t>
      </w:r>
      <w:r>
        <w:t xml:space="preserve">, up 8%.</w:t>
      </w:r>
    </w:p>
    <w:p>
      <w:pPr>
        <w:pStyle w:val="BodyText"/>
      </w:pPr>
      <w:r>
        <w:t xml:space="preserve">The most important underlying MA trends heading into 2Q are:</w:t>
      </w:r>
    </w:p>
    <w:p>
      <w:pPr>
        <w:pStyle w:val="Compact"/>
        <w:numPr>
          <w:ilvl w:val="0"/>
          <w:numId w:val="1003"/>
        </w:numPr>
      </w:pPr>
      <w:r>
        <w:rPr>
          <w:b/>
          <w:bCs/>
        </w:rPr>
        <w:t xml:space="preserve">Decision Solutions ARR grew 10%</w:t>
      </w:r>
      <w:r>
        <w:t xml:space="preserve">, led by KYC at 13% and Banking at 10%.</w:t>
      </w:r>
    </w:p>
    <w:p>
      <w:pPr>
        <w:pStyle w:val="Compact"/>
        <w:numPr>
          <w:ilvl w:val="0"/>
          <w:numId w:val="1003"/>
        </w:numPr>
      </w:pPr>
      <w:r>
        <w:t xml:space="preserve">Lending-suite ARR grew in the high teens.</w:t>
      </w:r>
    </w:p>
    <w:p>
      <w:pPr>
        <w:pStyle w:val="Compact"/>
        <w:numPr>
          <w:ilvl w:val="0"/>
          <w:numId w:val="1003"/>
        </w:numPr>
      </w:pPr>
      <w:r>
        <w:t xml:space="preserve">MA’s quarterly retention improved to</w:t>
      </w:r>
      <w:r>
        <w:t xml:space="preserve"> </w:t>
      </w:r>
      <w:r>
        <w:rPr>
          <w:b/>
          <w:bCs/>
        </w:rPr>
        <w:t xml:space="preserve">96%</w:t>
      </w:r>
      <w:r>
        <w:t xml:space="preserve">, while trailing-12-month retention improved to 95%.</w:t>
      </w:r>
    </w:p>
    <w:p>
      <w:pPr>
        <w:pStyle w:val="Compact"/>
        <w:numPr>
          <w:ilvl w:val="0"/>
          <w:numId w:val="1003"/>
        </w:numPr>
      </w:pPr>
      <w:r>
        <w:t xml:space="preserve">Management expects KYC ARR growth to improve toward the</w:t>
      </w:r>
      <w:r>
        <w:t xml:space="preserve"> </w:t>
      </w:r>
      <w:r>
        <w:rPr>
          <w:b/>
          <w:bCs/>
        </w:rPr>
        <w:t xml:space="preserve">mid-teens</w:t>
      </w:r>
      <w:r>
        <w:t xml:space="preserve"> </w:t>
      </w:r>
      <w:r>
        <w:t xml:space="preserve">through the year as “Moody’s for Compliance” gains traction.</w:t>
      </w:r>
    </w:p>
    <w:p>
      <w:pPr>
        <w:pStyle w:val="Compact"/>
        <w:numPr>
          <w:ilvl w:val="0"/>
          <w:numId w:val="1003"/>
        </w:numPr>
      </w:pPr>
      <w:r>
        <w:t xml:space="preserve">The planned sale of Regulatory Solutions was expected to close on</w:t>
      </w:r>
      <w:r>
        <w:t xml:space="preserve"> </w:t>
      </w:r>
      <w:r>
        <w:rPr>
          <w:b/>
          <w:bCs/>
        </w:rPr>
        <w:t xml:space="preserve">April 30</w:t>
      </w:r>
      <w:r>
        <w:t xml:space="preserve">. Investors should separate the resulting reported-revenue headwind from underlying recurring revenue and ARR.</w:t>
      </w:r>
    </w:p>
    <w:p>
      <w:pPr>
        <w:pStyle w:val="FirstParagraph"/>
      </w:pPr>
      <w:r>
        <w:t xml:space="preserve">This matters because MA is transitioning away from lower-quality transactional revenue—down 54% in 1Q because of divestitures and strategic mix shift—and toward renewable subscriptions, workflow products, and enterprise data relationships.</w:t>
      </w:r>
    </w:p>
    <w:bookmarkEnd w:id="12"/>
    <w:bookmarkStart w:id="13" w:name="X1c9752bab2ca1f43db3a868e23f60b11c9a090f"/>
    <w:p>
      <w:pPr>
        <w:pStyle w:val="Heading3"/>
      </w:pPr>
      <w:r>
        <w:t xml:space="preserve">3. Margin expansion remains a material part of the thesis</w:t>
      </w:r>
    </w:p>
    <w:p>
      <w:pPr>
        <w:pStyle w:val="FirstParagraph"/>
      </w:pPr>
      <w:r>
        <w:t xml:space="preserve">In 1Q, Moody’s adjusted operating margin expanded</w:t>
      </w:r>
      <w:r>
        <w:t xml:space="preserve"> </w:t>
      </w:r>
      <w:r>
        <w:rPr>
          <w:b/>
          <w:bCs/>
        </w:rPr>
        <w:t xml:space="preserve">150 bps</w:t>
      </w:r>
      <w:r>
        <w:t xml:space="preserve"> </w:t>
      </w:r>
      <w:r>
        <w:t xml:space="preserve">to 53.2%:</w:t>
      </w:r>
    </w:p>
    <w:p>
      <w:pPr>
        <w:pStyle w:val="Compact"/>
        <w:numPr>
          <w:ilvl w:val="0"/>
          <w:numId w:val="1004"/>
        </w:numPr>
      </w:pPr>
      <w:r>
        <w:t xml:space="preserve">MIS margin:</w:t>
      </w:r>
      <w:r>
        <w:t xml:space="preserve"> </w:t>
      </w:r>
      <w:r>
        <w:rPr>
          <w:b/>
          <w:bCs/>
        </w:rPr>
        <w:t xml:space="preserve">66.7%</w:t>
      </w:r>
      <w:r>
        <w:t xml:space="preserve">, up 70 bps.</w:t>
      </w:r>
    </w:p>
    <w:p>
      <w:pPr>
        <w:pStyle w:val="Compact"/>
        <w:numPr>
          <w:ilvl w:val="0"/>
          <w:numId w:val="1004"/>
        </w:numPr>
      </w:pPr>
      <w:r>
        <w:t xml:space="preserve">MA margin:</w:t>
      </w:r>
      <w:r>
        <w:t xml:space="preserve"> </w:t>
      </w:r>
      <w:r>
        <w:rPr>
          <w:b/>
          <w:bCs/>
        </w:rPr>
        <w:t xml:space="preserve">32.5%</w:t>
      </w:r>
      <w:r>
        <w:t xml:space="preserve">, up 250 bps.</w:t>
      </w:r>
    </w:p>
    <w:p>
      <w:pPr>
        <w:pStyle w:val="FirstParagraph"/>
      </w:pPr>
      <w:r>
        <w:t xml:space="preserve">Management attributes the leverage to cost discipline, portfolio simplification, workflow automation, and AI-enabled productivity. For 2Q, investors will look for evidence that the margin progression is not simply a strong-volume phenomenon at MIS, but is also becoming structural at MA.</w:t>
      </w:r>
    </w:p>
    <w:bookmarkEnd w:id="13"/>
    <w:bookmarkEnd w:id="14"/>
    <w:bookmarkStart w:id="15" w:name="Xe65548c594efb5ef2b99c2c66f4a3120321993e"/>
    <w:p>
      <w:pPr>
        <w:pStyle w:val="Heading2"/>
      </w:pPr>
      <w:r>
        <w:t xml:space="preserve">The most important swing factor: MIS issuance conversion</w:t>
      </w:r>
    </w:p>
    <w:p>
      <w:pPr>
        <w:pStyle w:val="FirstParagraph"/>
      </w:pPr>
      <w:r>
        <w:t xml:space="preserve">The core risk is not necessarily a weak long-term debt-funding environment; it is</w:t>
      </w:r>
      <w:r>
        <w:t xml:space="preserve"> </w:t>
      </w:r>
      <w:r>
        <w:rPr>
          <w:b/>
          <w:bCs/>
        </w:rPr>
        <w:t xml:space="preserve">timing and mix</w:t>
      </w:r>
      <w:r>
        <w:t xml:space="preserve">.</w:t>
      </w:r>
    </w:p>
    <w:p>
      <w:pPr>
        <w:pStyle w:val="BodyText"/>
      </w:pPr>
      <w:r>
        <w:t xml:space="preserve">At the April call, Moody’s said its base case assumed market volatility was largely contained to April, with issuance recovering through 2Q and 3Q. Management specifically cautioned that, if volatility persisted beyond April, full-year MIS revenue growth could moderate to the mid-single digits and adjusted EPS could move toward the low end of guidance.</w:t>
      </w:r>
    </w:p>
    <w:p>
      <w:pPr>
        <w:pStyle w:val="BodyText"/>
      </w:pPr>
      <w:r>
        <w:t xml:space="preserve">For 2Q, investors should focus on:</w:t>
      </w:r>
    </w:p>
    <w:p>
      <w:pPr>
        <w:pStyle w:val="Compact"/>
        <w:numPr>
          <w:ilvl w:val="0"/>
          <w:numId w:val="1005"/>
        </w:numPr>
      </w:pPr>
      <w:r>
        <w:rPr>
          <w:b/>
          <w:bCs/>
        </w:rPr>
        <w:t xml:space="preserve">How much deferred 1Q issuance actually returned in May and June.</w:t>
      </w:r>
    </w:p>
    <w:p>
      <w:pPr>
        <w:pStyle w:val="Compact"/>
        <w:numPr>
          <w:ilvl w:val="0"/>
          <w:numId w:val="1005"/>
        </w:numPr>
      </w:pPr>
      <w:r>
        <w:rPr>
          <w:b/>
          <w:bCs/>
        </w:rPr>
        <w:t xml:space="preserve">Investment-grade versus high-yield / leveraged-loan mix.</w:t>
      </w:r>
      <w:r>
        <w:br/>
      </w:r>
      <w:r>
        <w:t xml:space="preserve">Investment grade supports volume but can carry lower economics under frequent-issuer programs; high-yield, leveraged finance, and structured finance can matter disproportionately for revenue conversion.</w:t>
      </w:r>
    </w:p>
    <w:p>
      <w:pPr>
        <w:pStyle w:val="Compact"/>
        <w:numPr>
          <w:ilvl w:val="0"/>
          <w:numId w:val="1005"/>
        </w:numPr>
      </w:pPr>
      <w:r>
        <w:rPr>
          <w:b/>
          <w:bCs/>
        </w:rPr>
        <w:t xml:space="preserve">Structured Finance.</w:t>
      </w:r>
      <w:r>
        <w:br/>
      </w:r>
      <w:r>
        <w:t xml:space="preserve">It was slightly down in 1Q, held back by softer U.S. CMBS and CLO refinancing. A recovery would broaden the quarter beyond corporate IG issuance.</w:t>
      </w:r>
    </w:p>
    <w:p>
      <w:pPr>
        <w:pStyle w:val="Compact"/>
        <w:numPr>
          <w:ilvl w:val="0"/>
          <w:numId w:val="1005"/>
        </w:numPr>
      </w:pPr>
      <w:r>
        <w:rPr>
          <w:b/>
          <w:bCs/>
        </w:rPr>
        <w:t xml:space="preserve">Private credit.</w:t>
      </w:r>
      <w:r>
        <w:br/>
      </w:r>
      <w:r>
        <w:t xml:space="preserve">Sustained strong growth would reinforce a relatively underappreciated source of ratings and analytics demand.</w:t>
      </w:r>
    </w:p>
    <w:p>
      <w:pPr>
        <w:pStyle w:val="Compact"/>
        <w:numPr>
          <w:ilvl w:val="0"/>
          <w:numId w:val="1005"/>
        </w:numPr>
      </w:pPr>
      <w:r>
        <w:rPr>
          <w:b/>
          <w:bCs/>
        </w:rPr>
        <w:t xml:space="preserve">The second-half issuance calendar.</w:t>
      </w:r>
      <w:r>
        <w:br/>
      </w:r>
      <w:r>
        <w:t xml:space="preserve">The market will likely care more about management’s updated 3Q/4Q view than about a mechanical 2Q beat.</w:t>
      </w:r>
    </w:p>
    <w:bookmarkEnd w:id="15"/>
    <w:bookmarkStart w:id="16" w:name="X451ddf4ecb52d5e5a975b249d56c98a3f580255"/>
    <w:p>
      <w:pPr>
        <w:pStyle w:val="Heading2"/>
      </w:pPr>
      <w:r>
        <w:t xml:space="preserve">AI: upside optionality, but still early in monetization</w:t>
      </w:r>
    </w:p>
    <w:p>
      <w:pPr>
        <w:pStyle w:val="FirstParagraph"/>
      </w:pPr>
      <w:r>
        <w:t xml:space="preserve">Moody’s AI strategy has become an increasingly visible part of the equity narrative. It has built integrations and distribution partnerships across enterprise AI environments, including Anthropic, AWS, Microsoft, and OpenAI.</w:t>
      </w:r>
    </w:p>
    <w:p>
      <w:pPr>
        <w:pStyle w:val="BodyText"/>
      </w:pPr>
      <w:r>
        <w:t xml:space="preserve">The strategic logic is compelling:</w:t>
      </w:r>
    </w:p>
    <w:p>
      <w:pPr>
        <w:pStyle w:val="Compact"/>
        <w:numPr>
          <w:ilvl w:val="0"/>
          <w:numId w:val="1006"/>
        </w:numPr>
      </w:pPr>
      <w:r>
        <w:t xml:space="preserve">Moody’s is positioning its ratings, entity data, ownership information, risk models, and research as</w:t>
      </w:r>
      <w:r>
        <w:t xml:space="preserve"> </w:t>
      </w:r>
      <w:r>
        <w:rPr>
          <w:b/>
          <w:bCs/>
        </w:rPr>
        <w:t xml:space="preserve">governed, auditable intelligence</w:t>
      </w:r>
      <w:r>
        <w:t xml:space="preserve"> </w:t>
      </w:r>
      <w:r>
        <w:t xml:space="preserve">for high-stakes financial workflows.</w:t>
      </w:r>
    </w:p>
    <w:p>
      <w:pPr>
        <w:pStyle w:val="Compact"/>
        <w:numPr>
          <w:ilvl w:val="0"/>
          <w:numId w:val="1006"/>
        </w:numPr>
      </w:pPr>
      <w:r>
        <w:t xml:space="preserve">Its model generally preserves the direct customer relationship and its IP: customers bring their existing Moody’s licenses into third-party AI environments.</w:t>
      </w:r>
    </w:p>
    <w:p>
      <w:pPr>
        <w:pStyle w:val="Compact"/>
        <w:numPr>
          <w:ilvl w:val="0"/>
          <w:numId w:val="1006"/>
        </w:numPr>
      </w:pPr>
      <w:r>
        <w:t xml:space="preserve">Management sees potential for larger enterprise agreements, new buyer personas, upgrades from APIs to more AI-ready data delivery, and consumption-related upside above contractual minimums.</w:t>
      </w:r>
    </w:p>
    <w:p>
      <w:pPr>
        <w:pStyle w:val="FirstParagraph"/>
      </w:pPr>
      <w:r>
        <w:t xml:space="preserve">But the valuation-relevant question remains</w:t>
      </w:r>
      <w:r>
        <w:t xml:space="preserve"> </w:t>
      </w:r>
      <w:r>
        <w:rPr>
          <w:b/>
          <w:bCs/>
        </w:rPr>
        <w:t xml:space="preserve">commercial proof</w:t>
      </w:r>
      <w:r>
        <w:t xml:space="preserve">. Investors should listen for:</w:t>
      </w:r>
    </w:p>
    <w:p>
      <w:pPr>
        <w:pStyle w:val="Compact"/>
        <w:numPr>
          <w:ilvl w:val="0"/>
          <w:numId w:val="1007"/>
        </w:numPr>
      </w:pPr>
      <w:r>
        <w:t xml:space="preserve">Number and scale of customer trials converting to paid deployments.</w:t>
      </w:r>
    </w:p>
    <w:p>
      <w:pPr>
        <w:pStyle w:val="Compact"/>
        <w:numPr>
          <w:ilvl w:val="0"/>
          <w:numId w:val="1007"/>
        </w:numPr>
      </w:pPr>
      <w:r>
        <w:t xml:space="preserve">Whether AI is driving measurable cross-sell, contract expansion, retention, or new logo wins.</w:t>
      </w:r>
    </w:p>
    <w:p>
      <w:pPr>
        <w:pStyle w:val="Compact"/>
        <w:numPr>
          <w:ilvl w:val="0"/>
          <w:numId w:val="1007"/>
        </w:numPr>
      </w:pPr>
      <w:r>
        <w:t xml:space="preserve">Progress in credit-risk, KYC/compliance, and insurance-underwriting agentic workflows.</w:t>
      </w:r>
    </w:p>
    <w:p>
      <w:pPr>
        <w:pStyle w:val="Compact"/>
        <w:numPr>
          <w:ilvl w:val="0"/>
          <w:numId w:val="1007"/>
        </w:numPr>
      </w:pPr>
      <w:r>
        <w:t xml:space="preserve">Whether the company quantifies AI-related pipeline, bookings, or ARR contribution—even directionally.</w:t>
      </w:r>
    </w:p>
    <w:p>
      <w:pPr>
        <w:pStyle w:val="FirstParagraph"/>
      </w:pPr>
      <w:r>
        <w:t xml:space="preserve">The near-term risk is execution speed: customers may establish AI workflows around alternative data sources if Moody’s does not become embedded early enough. The counterargument is that its data provenance, regulatory credibility, and auditability are particularly important in the high-consequence use cases it targets.</w:t>
      </w:r>
    </w:p>
    <w:bookmarkEnd w:id="16"/>
    <w:bookmarkStart w:id="17" w:name="X2d38596973a4228dfab2549322ac285233aabbd"/>
    <w:p>
      <w:pPr>
        <w:pStyle w:val="Heading2"/>
      </w:pPr>
      <w:r>
        <w:t xml:space="preserve">Key items to watch in the release and call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Topic</w:t>
            </w:r>
          </w:p>
        </w:tc>
        <w:tc>
          <w:tcPr/>
          <w:p>
            <w:pPr>
              <w:pStyle w:val="Compact"/>
            </w:pPr>
            <w:r>
              <w:t xml:space="preserve">Constructive outcome</w:t>
            </w:r>
          </w:p>
        </w:tc>
        <w:tc>
          <w:tcPr/>
          <w:p>
            <w:pPr>
              <w:pStyle w:val="Compact"/>
            </w:pPr>
            <w:r>
              <w:t xml:space="preserve">Potential concern</w:t>
            </w:r>
          </w:p>
        </w:tc>
      </w:tr>
      <w:tr>
        <w:tc>
          <w:tcPr/>
          <w:p>
            <w:pPr>
              <w:pStyle w:val="Compact"/>
            </w:pPr>
            <w:r>
              <w:rPr>
                <w:b/>
                <w:bCs/>
              </w:rPr>
              <w:t xml:space="preserve">MIS revenue</w:t>
            </w:r>
          </w:p>
        </w:tc>
        <w:tc>
          <w:tcPr/>
          <w:p>
            <w:pPr>
              <w:pStyle w:val="Compact"/>
            </w:pPr>
            <w:r>
              <w:t xml:space="preserve">Low- to mid-teens growth, consistent with 2Q guide</w:t>
            </w:r>
          </w:p>
        </w:tc>
        <w:tc>
          <w:tcPr/>
          <w:p>
            <w:pPr>
              <w:pStyle w:val="Compact"/>
            </w:pPr>
            <w:r>
              <w:t xml:space="preserve">Miss driven by delayed issuance or weak revenue conversion</w:t>
            </w:r>
          </w:p>
        </w:tc>
      </w:tr>
      <w:tr>
        <w:tc>
          <w:tcPr/>
          <w:p>
            <w:pPr>
              <w:pStyle w:val="Compact"/>
            </w:pPr>
            <w:r>
              <w:rPr>
                <w:b/>
                <w:bCs/>
              </w:rPr>
              <w:t xml:space="preserve">MIS outlook</w:t>
            </w:r>
          </w:p>
        </w:tc>
        <w:tc>
          <w:tcPr/>
          <w:p>
            <w:pPr>
              <w:pStyle w:val="Compact"/>
            </w:pPr>
            <w:r>
              <w:t xml:space="preserve">Full-year high-single-digit revenue guide maintained or raised</w:t>
            </w:r>
          </w:p>
        </w:tc>
        <w:tc>
          <w:tcPr/>
          <w:p>
            <w:pPr>
              <w:pStyle w:val="Compact"/>
            </w:pPr>
            <w:r>
              <w:t xml:space="preserve">Guidance pressure from persistent volatility or a weaker 2H issuance outlook</w:t>
            </w:r>
          </w:p>
        </w:tc>
      </w:tr>
      <w:tr>
        <w:tc>
          <w:tcPr/>
          <w:p>
            <w:pPr>
              <w:pStyle w:val="Compact"/>
            </w:pPr>
            <w:r>
              <w:rPr>
                <w:b/>
                <w:bCs/>
              </w:rPr>
              <w:t xml:space="preserve">MA ARR / organic recurring growth</w:t>
            </w:r>
          </w:p>
        </w:tc>
        <w:tc>
          <w:tcPr/>
          <w:p>
            <w:pPr>
              <w:pStyle w:val="Compact"/>
            </w:pPr>
            <w:r>
              <w:t xml:space="preserve">High-single-digit ARR trajectory intact, with KYC acceleration</w:t>
            </w:r>
          </w:p>
        </w:tc>
        <w:tc>
          <w:tcPr/>
          <w:p>
            <w:pPr>
              <w:pStyle w:val="Compact"/>
            </w:pPr>
            <w:r>
              <w:t xml:space="preserve">ARR deceleration, weaker net-new sales, or retention deterioration</w:t>
            </w:r>
          </w:p>
        </w:tc>
      </w:tr>
      <w:tr>
        <w:tc>
          <w:tcPr/>
          <w:p>
            <w:pPr>
              <w:pStyle w:val="Compact"/>
            </w:pPr>
            <w:r>
              <w:rPr>
                <w:b/>
                <w:bCs/>
              </w:rPr>
              <w:t xml:space="preserve">MA margins</w:t>
            </w:r>
          </w:p>
        </w:tc>
        <w:tc>
          <w:tcPr/>
          <w:p>
            <w:pPr>
              <w:pStyle w:val="Compact"/>
            </w:pPr>
            <w:r>
              <w:t xml:space="preserve">Sequential expansion and confidence in 34%–35% FY margin guide</w:t>
            </w:r>
          </w:p>
        </w:tc>
        <w:tc>
          <w:tcPr/>
          <w:p>
            <w:pPr>
              <w:pStyle w:val="Compact"/>
            </w:pPr>
            <w:r>
              <w:t xml:space="preserve">Margin improvement pushed into 2H without clear operational support</w:t>
            </w:r>
          </w:p>
        </w:tc>
      </w:tr>
      <w:tr>
        <w:tc>
          <w:tcPr/>
          <w:p>
            <w:pPr>
              <w:pStyle w:val="Compact"/>
            </w:pPr>
            <w:r>
              <w:rPr>
                <w:b/>
                <w:bCs/>
              </w:rPr>
              <w:t xml:space="preserve">AI commercialization</w:t>
            </w:r>
          </w:p>
        </w:tc>
        <w:tc>
          <w:tcPr/>
          <w:p>
            <w:pPr>
              <w:pStyle w:val="Compact"/>
            </w:pPr>
            <w:r>
              <w:t xml:space="preserve">Concrete contracts, paid deployments, enterprise-license expansion</w:t>
            </w:r>
          </w:p>
        </w:tc>
        <w:tc>
          <w:tcPr/>
          <w:p>
            <w:pPr>
              <w:pStyle w:val="Compact"/>
            </w:pPr>
            <w:r>
              <w:t xml:space="preserve">Narrative remains strategic without tangible revenue evidence</w:t>
            </w:r>
          </w:p>
        </w:tc>
      </w:tr>
      <w:tr>
        <w:tc>
          <w:tcPr/>
          <w:p>
            <w:pPr>
              <w:pStyle w:val="Compact"/>
            </w:pPr>
            <w:r>
              <w:rPr>
                <w:b/>
                <w:bCs/>
              </w:rPr>
              <w:t xml:space="preserve">Capital return</w:t>
            </w:r>
          </w:p>
        </w:tc>
        <w:tc>
          <w:tcPr/>
          <w:p>
            <w:pPr>
              <w:pStyle w:val="Compact"/>
            </w:pPr>
            <w:r>
              <w:t xml:space="preserve">Continued execution toward approximately $2.5B of 2026 buybacks</w:t>
            </w:r>
          </w:p>
        </w:tc>
        <w:tc>
          <w:tcPr/>
          <w:p>
            <w:pPr>
              <w:pStyle w:val="Compact"/>
            </w:pPr>
            <w:r>
              <w:t xml:space="preserve">Reduced flexibility due to valuation, cash deployment, or macro caution</w:t>
            </w:r>
          </w:p>
        </w:tc>
      </w:tr>
      <w:tr>
        <w:tc>
          <w:tcPr/>
          <w:p>
            <w:pPr>
              <w:pStyle w:val="Compact"/>
            </w:pPr>
            <w:r>
              <w:rPr>
                <w:b/>
                <w:bCs/>
              </w:rPr>
              <w:t xml:space="preserve">EPS / tax / non-operating items</w:t>
            </w:r>
          </w:p>
        </w:tc>
        <w:tc>
          <w:tcPr/>
          <w:p>
            <w:pPr>
              <w:pStyle w:val="Compact"/>
            </w:pPr>
            <w:r>
              <w:t xml:space="preserve">Results within or above the</w:t>
            </w:r>
            <w:r>
              <w:t xml:space="preserve"> </w:t>
            </w:r>
            <m:oMath>
              <m:r>
                <m:t>4.15</m:t>
              </m:r>
              <m:r>
                <m:rPr>
                  <m:sty m:val="p"/>
                </m:rPr>
                <m:t>–</m:t>
              </m:r>
            </m:oMath>
            <w:r>
              <w:t xml:space="preserve">4.30 adjusted-EPS framework</w:t>
            </w:r>
          </w:p>
        </w:tc>
        <w:tc>
          <w:tcPr/>
          <w:p>
            <w:pPr>
              <w:pStyle w:val="Compact"/>
            </w:pPr>
            <w:r>
              <w:t xml:space="preserve">Below-range EPS from tax, expenses, or a less favorable issuance mix</w:t>
            </w:r>
          </w:p>
        </w:tc>
      </w:tr>
    </w:tbl>
    <w:bookmarkEnd w:id="17"/>
    <w:bookmarkStart w:id="18" w:name="full-year-guidecard"/>
    <w:p>
      <w:pPr>
        <w:pStyle w:val="Heading2"/>
      </w:pPr>
      <w:r>
        <w:t xml:space="preserve">Full-year guidecard</w:t>
      </w:r>
    </w:p>
    <w:p>
      <w:pPr>
        <w:pStyle w:val="FirstParagraph"/>
      </w:pPr>
      <w:r>
        <w:t xml:space="preserve">The 1Q outlook established the relevant benchmark:</w:t>
      </w:r>
    </w:p>
    <w:p>
      <w:pPr>
        <w:pStyle w:val="Compact"/>
        <w:numPr>
          <w:ilvl w:val="0"/>
          <w:numId w:val="1008"/>
        </w:numPr>
      </w:pPr>
      <w:r>
        <w:rPr>
          <w:b/>
          <w:bCs/>
        </w:rPr>
        <w:t xml:space="preserve">MCO revenue growth:</w:t>
      </w:r>
      <w:r>
        <w:t xml:space="preserve"> </w:t>
      </w:r>
      <w:r>
        <w:t xml:space="preserve">high-single digits</w:t>
      </w:r>
    </w:p>
    <w:p>
      <w:pPr>
        <w:pStyle w:val="Compact"/>
        <w:numPr>
          <w:ilvl w:val="0"/>
          <w:numId w:val="1008"/>
        </w:numPr>
      </w:pPr>
      <w:r>
        <w:rPr>
          <w:b/>
          <w:bCs/>
        </w:rPr>
        <w:t xml:space="preserve">Adjusted operating margin:</w:t>
      </w:r>
      <w:r>
        <w:t xml:space="preserve"> </w:t>
      </w:r>
      <w:r>
        <w:t xml:space="preserve">52%–53%</w:t>
      </w:r>
    </w:p>
    <w:p>
      <w:pPr>
        <w:pStyle w:val="Compact"/>
        <w:numPr>
          <w:ilvl w:val="0"/>
          <w:numId w:val="1008"/>
        </w:numPr>
      </w:pPr>
      <w:r>
        <w:rPr>
          <w:b/>
          <w:bCs/>
        </w:rPr>
        <w:t xml:space="preserve">Adjusted EPS:</w:t>
      </w:r>
      <w:r>
        <w:t xml:space="preserve"> </w:t>
      </w:r>
      <m:oMath>
        <m:r>
          <m:t>16.40</m:t>
        </m:r>
        <m:r>
          <m:rPr>
            <m:sty m:val="p"/>
          </m:rPr>
          <m:t>–</m:t>
        </m:r>
      </m:oMath>
      <w:r>
        <w:t xml:space="preserve">17.00</w:t>
      </w:r>
    </w:p>
    <w:p>
      <w:pPr>
        <w:pStyle w:val="Compact"/>
        <w:numPr>
          <w:ilvl w:val="0"/>
          <w:numId w:val="1008"/>
        </w:numPr>
      </w:pPr>
      <w:r>
        <w:rPr>
          <w:b/>
          <w:bCs/>
        </w:rPr>
        <w:t xml:space="preserve">MA revenue:</w:t>
      </w:r>
      <w:r>
        <w:t xml:space="preserve"> </w:t>
      </w:r>
      <w:r>
        <w:t xml:space="preserve">mid-single-digit growth reported</w:t>
      </w:r>
    </w:p>
    <w:p>
      <w:pPr>
        <w:pStyle w:val="Compact"/>
        <w:numPr>
          <w:ilvl w:val="0"/>
          <w:numId w:val="1008"/>
        </w:numPr>
      </w:pPr>
      <w:r>
        <w:rPr>
          <w:b/>
          <w:bCs/>
        </w:rPr>
        <w:t xml:space="preserve">MA organic constant-currency revenue and ARR:</w:t>
      </w:r>
      <w:r>
        <w:t xml:space="preserve"> </w:t>
      </w:r>
      <w:r>
        <w:t xml:space="preserve">high-single-digit growth</w:t>
      </w:r>
    </w:p>
    <w:p>
      <w:pPr>
        <w:pStyle w:val="Compact"/>
        <w:numPr>
          <w:ilvl w:val="0"/>
          <w:numId w:val="1008"/>
        </w:numPr>
      </w:pPr>
      <w:r>
        <w:rPr>
          <w:b/>
          <w:bCs/>
        </w:rPr>
        <w:t xml:space="preserve">MA adjusted operating margin:</w:t>
      </w:r>
      <w:r>
        <w:t xml:space="preserve"> </w:t>
      </w:r>
      <w:r>
        <w:t xml:space="preserve">34%–35%</w:t>
      </w:r>
    </w:p>
    <w:p>
      <w:pPr>
        <w:pStyle w:val="Compact"/>
        <w:numPr>
          <w:ilvl w:val="0"/>
          <w:numId w:val="1008"/>
        </w:numPr>
      </w:pPr>
      <w:r>
        <w:rPr>
          <w:b/>
          <w:bCs/>
        </w:rPr>
        <w:t xml:space="preserve">MIS revenue:</w:t>
      </w:r>
      <w:r>
        <w:t xml:space="preserve"> </w:t>
      </w:r>
      <w:r>
        <w:t xml:space="preserve">high-single-digit growth</w:t>
      </w:r>
    </w:p>
    <w:p>
      <w:pPr>
        <w:pStyle w:val="Compact"/>
        <w:numPr>
          <w:ilvl w:val="0"/>
          <w:numId w:val="1008"/>
        </w:numPr>
      </w:pPr>
      <w:r>
        <w:rPr>
          <w:b/>
          <w:bCs/>
        </w:rPr>
        <w:t xml:space="preserve">MIS adjusted operating margin:</w:t>
      </w:r>
      <w:r>
        <w:t xml:space="preserve"> </w:t>
      </w:r>
      <w:r>
        <w:t xml:space="preserve">approximately 65%</w:t>
      </w:r>
    </w:p>
    <w:p>
      <w:pPr>
        <w:pStyle w:val="Compact"/>
        <w:numPr>
          <w:ilvl w:val="0"/>
          <w:numId w:val="1008"/>
        </w:numPr>
      </w:pPr>
      <w:r>
        <w:rPr>
          <w:b/>
          <w:bCs/>
        </w:rPr>
        <w:t xml:space="preserve">Free cash flow:</w:t>
      </w:r>
      <w:r>
        <w:t xml:space="preserve"> </w:t>
      </w:r>
      <m:oMath>
        <m:r>
          <m:t>2.8</m:t>
        </m:r>
        <m:r>
          <m:rPr>
            <m:sty m:val="p"/>
          </m:rPr>
          <m:t>–</m:t>
        </m:r>
      </m:oMath>
      <w:r>
        <w:t xml:space="preserve">3.0 billion</w:t>
      </w:r>
    </w:p>
    <w:p>
      <w:pPr>
        <w:pStyle w:val="Compact"/>
        <w:numPr>
          <w:ilvl w:val="0"/>
          <w:numId w:val="1008"/>
        </w:numPr>
      </w:pPr>
      <w:r>
        <w:rPr>
          <w:b/>
          <w:bCs/>
        </w:rPr>
        <w:t xml:space="preserve">Share repurchases:</w:t>
      </w:r>
      <w:r>
        <w:t xml:space="preserve"> </w:t>
      </w:r>
      <w:r>
        <w:t xml:space="preserve">approximately $2.5 billion</w:t>
      </w:r>
    </w:p>
    <w:p>
      <w:pPr>
        <w:pStyle w:val="FirstParagraph"/>
      </w:pPr>
      <w:r>
        <w:t xml:space="preserve">A maintained guide would be constructive given the macro uncertainty, but the stock’s pre-report strength suggests investors may prefer either</w:t>
      </w:r>
      <w:r>
        <w:t xml:space="preserve"> </w:t>
      </w:r>
      <w:r>
        <w:rPr>
          <w:b/>
          <w:bCs/>
        </w:rPr>
        <w:t xml:space="preserve">an MIS guide raise, a more favorable issuance outlook, or clearer proof that MA’s AI products are becoming financially material.</w:t>
      </w:r>
    </w:p>
    <w:bookmarkEnd w:id="18"/>
    <w:bookmarkStart w:id="19" w:name="bottom-line"/>
    <w:p>
      <w:pPr>
        <w:pStyle w:val="Heading2"/>
      </w:pPr>
      <w:r>
        <w:t xml:space="preserve">Bottom line</w:t>
      </w:r>
    </w:p>
    <w:p>
      <w:pPr>
        <w:pStyle w:val="FirstParagraph"/>
      </w:pPr>
      <w:r>
        <w:t xml:space="preserve">Moody’s appears positioned for a solid 2Q: the company entered the quarter with explicit low-/mid-teens MIS growth guidance, strong recurring MA fundamentals, and expanding margins. The more important issue is the</w:t>
      </w:r>
      <w:r>
        <w:t xml:space="preserve"> </w:t>
      </w:r>
      <w:r>
        <w:rPr>
          <w:b/>
          <w:bCs/>
        </w:rPr>
        <w:t xml:space="preserve">quality of the outlook</w:t>
      </w:r>
      <w:r>
        <w:t xml:space="preserve">. A favorable report would pair in-line-or-better 2Q results with continued confidence in second-half issuance, stable high-single-digit MA ARR growth, and tangible signs of AI-led commercial expansion.</w:t>
      </w:r>
    </w:p>
    <w:p>
      <w:pPr>
        <w:pStyle w:val="BodyText"/>
      </w:pPr>
      <w:r>
        <w:t xml:space="preserve">The downside setup is a narrower one: even a decent printed quarter could disappoint if management points to renewed issuance delays, trims the full-year MIS outlook, or offers only qualitative AI commentary while expectations for monetization rise.</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2026-07-22T00:24:48Z</dcterms:created>
  <dcterms:modified xsi:type="dcterms:W3CDTF">2026-07-22T00:24:48Z</dcterms:modified>
</cp:coreProperties>
</file>

<file path=docProps/custom.xml><?xml version="1.0" encoding="utf-8"?>
<Properties xmlns="http://schemas.openxmlformats.org/officeDocument/2006/custom-properties" xmlns:vt="http://schemas.openxmlformats.org/officeDocument/2006/docPropsVTypes"/>
</file>