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o-earnings-predictions--2026-07-22"/>
    <w:p>
      <w:pPr>
        <w:pStyle w:val="Heading1"/>
      </w:pPr>
      <w:r>
        <w:t xml:space="preserve">MCO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~$1,225M vs. cons $1,201M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~$4.35 vs. cons $4.248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 ARR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~$3,630M vs. cons $3,592M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FY2026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16.80</m:t>
              </m:r>
              <m:r>
                <m:rPr>
                  <m:sty m:val="p"/>
                </m:rPr>
                <m:t>−</m:t>
              </m:r>
            </m:oMath>
            <w:r>
              <w:t xml:space="preserve">17.40 vs. cons $16.784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MIS Revenue FY2026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high-single-digit range vs. cons $4,661M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 ARR FY2026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high-single-digit growth vs. cons $3,811M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Issuance tone / H2 visibility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more confident on H2 issuance; constructive market commentary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FY raise absorbs Q2 beat; H2 estimates move modestly higher; no large follow-through but no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2026-07-24T22:20:26Z</dcterms:created>
  <dcterms:modified xsi:type="dcterms:W3CDTF">2026-07-24T22:20:26Z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