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Moody's Corporation (MCO) — Q2 2026 Earnings Preview</w:t>
      </w:r>
    </w:p>
    <w:p>
      <w:r>
        <w:rPr>
          <w:rFonts w:ascii="Calibri" w:hAnsi="Calibri"/>
          <w:b/>
          <w:color w:val="525866"/>
          <w:sz w:val="22"/>
        </w:rPr>
        <w:t xml:space="preserve">Ticker: </w:t>
      </w:r>
      <w:r>
        <w:rPr>
          <w:rFonts w:ascii="Calibri" w:hAnsi="Calibri"/>
          <w:color w:val="525866"/>
          <w:sz w:val="22"/>
        </w:rPr>
        <w:t xml:space="preserve">MCO   </w:t>
      </w:r>
      <w:r>
        <w:rPr>
          <w:rFonts w:ascii="Calibri" w:hAnsi="Calibri"/>
          <w:b/>
          <w:color w:val="525866"/>
          <w:sz w:val="22"/>
        </w:rPr>
        <w:t xml:space="preserve">Earnings Date: </w:t>
      </w:r>
      <w:r>
        <w:rPr>
          <w:rFonts w:ascii="Calibri" w:hAnsi="Calibri"/>
          <w:color w:val="525866"/>
          <w:sz w:val="22"/>
        </w:rPr>
        <w:t xml:space="preserve">July 22, 2026 (Pre-Market)   </w:t>
      </w:r>
      <w:r>
        <w:rPr>
          <w:rFonts w:ascii="Calibri" w:hAnsi="Calibri"/>
          <w:b/>
          <w:color w:val="525866"/>
          <w:sz w:val="22"/>
        </w:rPr>
        <w:t xml:space="preserve">Prepared: </w:t>
      </w:r>
      <w:r>
        <w:rPr>
          <w:rFonts w:ascii="Calibri" w:hAnsi="Calibri"/>
          <w:color w:val="525866"/>
          <w:sz w:val="22"/>
        </w:rPr>
        <w:t>July 21, 2026</w:t>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Q2 2026 is constructive — consensus sits at the low end of management's guided range, leaving room for a beat if issuance held up through the quarter; the single biggest swing factor is whether MIS revenue growth came in at the low-to-mid teens as guided or was clipped by geopolitical volatility.</w:t>
      </w:r>
    </w:p>
    <w:p>
      <w:r>
        <w:rPr>
          <w:rFonts w:ascii="Calibri" w:hAnsi="Calibri"/>
          <w:color w:val="525866"/>
          <w:sz w:val="22"/>
        </w:rPr>
        <w:t xml:space="preserve">The bar heading into Q2 2026 is manageable: consensus EPS of ~$4.25 sits near the midpoint of management's $4.15–$4.30 guided range, and MIS revenue consensus of ~$1.20B implies low-to-mid-teens growth — exactly what management guided on the April 22 call. </w:t>
      </w:r>
      <w:r>
        <w:rPr>
          <w:rFonts w:ascii="Calibri" w:hAnsi="Calibri"/>
          <w:color w:val="525866"/>
          <w:sz w:val="22"/>
        </w:rPr>
        <w:t xml:space="preserve">Management's posture on the April call was cautiously confident: they held full-year guidance, raised buyback guidance by $500M to ~$2.5B, and explicitly flagged that if volatility persisted beyond April, MIS growth would moderate to mid-single digits — but market conditions have since recovered, with spreads tightening and the 10-year yield pulling back, suggesting the base case held. </w:t>
      </w:r>
      <w:r>
        <w:rPr>
          <w:rFonts w:ascii="Calibri" w:hAnsi="Calibri"/>
          <w:color w:val="525866"/>
          <w:sz w:val="22"/>
        </w:rPr>
        <w:t xml:space="preserve">Estimate revisions since the Q1 print have been modest and directionally positive, with the 2026FY EPS consensus edging up slightly from ~$16.70 to ~$16.78, consistent with management's unchanged full-year guidance and a market that has largely accepted the constructive issuance narrative. </w:t>
      </w:r>
      <w:r>
        <w:rPr>
          <w:rFonts w:ascii="Calibri" w:hAnsi="Calibri"/>
          <w:color w:val="525866"/>
          <w:sz w:val="22"/>
        </w:rPr>
        <w:t xml:space="preserve">The stock has rallied ~5% since the Q1 earnings date (April 22) and trades at a forward P/E in the mid-to-high 30s — a premium that leaves little room for a miss but also reflects the market's confidence in the structural issuance tailwinds (AI infrastructure financing, refinancing walls, private credit growth). </w:t>
      </w:r>
      <w:r>
        <w:rPr>
          <w:rFonts w:ascii="Calibri" w:hAnsi="Calibri"/>
          <w:color w:val="525866"/>
          <w:sz w:val="22"/>
        </w:rPr>
        <w:t xml:space="preserve">The key wildcard is the pace of </w:t>
      </w:r>
      <w:r>
        <w:rPr>
          <w:rFonts w:ascii="Calibri" w:hAnsi="Calibri"/>
          <w:b/>
          <w:color w:val="525866"/>
          <w:sz w:val="22"/>
        </w:rPr>
        <w:t>private credit revenue growth in MIS</w:t>
      </w:r>
      <w:r>
        <w:rPr>
          <w:rFonts w:ascii="Calibri" w:hAnsi="Calibri"/>
          <w:color w:val="525866"/>
          <w:sz w:val="22"/>
        </w:rPr>
        <w:t xml:space="preserve"> — which surged &gt;80% YoY in Q1 — and whether that momentum sustained into Q2, as any deceleration there combined with softer-than-expected transactional issuance could disappoint a market that has priced in continued outperformance.</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moderate bar — estimates sit near the midpoint of guidance on both revenue and EPS, with </w:t>
      </w:r>
      <w:r>
        <w:rPr>
          <w:rFonts w:ascii="Calibri" w:hAnsi="Calibri"/>
          <w:b/>
          <w:color w:val="525866"/>
          <w:sz w:val="22"/>
        </w:rPr>
        <w:t>MIS revenue growth</w:t>
      </w:r>
      <w:r>
        <w:rPr>
          <w:rFonts w:ascii="Calibri" w:hAnsi="Calibri"/>
          <w:color w:val="525866"/>
          <w:sz w:val="22"/>
        </w:rPr>
        <w:t xml:space="preserve"> the bigger swing factor given its sensitivity to issuance timing and private credit momentum; MA ARR is the steadier, more predictable leg.</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 (Q2 2026)</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Total Revenue ($M)</w:t>
            </w:r>
          </w:p>
        </w:tc>
        <w:tc>
          <w:tcPr>
            <w:tcW w:type="dxa" w:w="1234"/>
          </w:tcPr>
          <w:p>
            <w:r>
              <w:rPr>
                <w:rFonts w:ascii="Calibri" w:hAnsi="Calibri"/>
                <w:sz w:val="22"/>
              </w:rPr>
              <w:t>$2,079</w:t>
            </w:r>
          </w:p>
        </w:tc>
        <w:tc>
          <w:tcPr>
            <w:tcW w:type="dxa" w:w="1234"/>
          </w:tcPr>
          <w:p>
            <w:r>
              <w:rPr>
                <w:rFonts w:ascii="Calibri" w:hAnsi="Calibri"/>
                <w:sz w:val="22"/>
              </w:rPr>
              <w:t>$1,898</w:t>
            </w:r>
          </w:p>
        </w:tc>
        <w:tc>
          <w:tcPr>
            <w:tcW w:type="dxa" w:w="1234"/>
          </w:tcPr>
          <w:p>
            <w:r>
              <w:rPr>
                <w:rFonts w:ascii="Calibri" w:hAnsi="Calibri"/>
                <w:sz w:val="22"/>
              </w:rPr>
              <w:t>$2,085</w:t>
            </w:r>
          </w:p>
        </w:tc>
        <w:tc>
          <w:tcPr>
            <w:tcW w:type="dxa" w:w="1234"/>
          </w:tcPr>
          <w:p>
            <w:r>
              <w:rPr>
                <w:rFonts w:ascii="Calibri" w:hAnsi="Calibri"/>
                <w:sz w:val="22"/>
              </w:rPr>
              <w:t>+9.8%</w:t>
            </w:r>
          </w:p>
        </w:tc>
        <w:tc>
          <w:tcPr>
            <w:tcW w:type="dxa" w:w="1234"/>
          </w:tcPr>
          <w:p>
            <w:r>
              <w:rPr>
                <w:rFonts w:ascii="Calibri" w:hAnsi="Calibri"/>
                <w:sz w:val="22"/>
              </w:rPr>
              <w:t>High single-digit % growth (FY); low double-digit H1</w:t>
            </w:r>
          </w:p>
        </w:tc>
        <w:tc>
          <w:tcPr>
            <w:tcW w:type="dxa" w:w="1234"/>
          </w:tcPr>
          <w:p>
            <w:r>
              <w:rPr>
                <w:rFonts w:ascii="Calibri" w:hAnsi="Calibri"/>
                <w:sz w:val="22"/>
              </w:rPr>
              <w:t>In line with H1 guidance</w:t>
            </w:r>
          </w:p>
        </w:tc>
      </w:tr>
      <w:tr>
        <w:tc>
          <w:tcPr>
            <w:tcW w:type="dxa" w:w="1234"/>
          </w:tcPr>
          <w:p>
            <w:r>
              <w:rPr>
                <w:rFonts w:ascii="Calibri" w:hAnsi="Calibri"/>
                <w:sz w:val="22"/>
              </w:rPr>
              <w:t>MIS Revenue ($M)</w:t>
            </w:r>
          </w:p>
        </w:tc>
        <w:tc>
          <w:tcPr>
            <w:tcW w:type="dxa" w:w="1234"/>
          </w:tcPr>
          <w:p>
            <w:r>
              <w:rPr>
                <w:rFonts w:ascii="Calibri" w:hAnsi="Calibri"/>
                <w:sz w:val="22"/>
              </w:rPr>
              <w:t>$1,204</w:t>
            </w:r>
          </w:p>
        </w:tc>
        <w:tc>
          <w:tcPr>
            <w:tcW w:type="dxa" w:w="1234"/>
          </w:tcPr>
          <w:p>
            <w:r>
              <w:rPr>
                <w:rFonts w:ascii="Calibri" w:hAnsi="Calibri"/>
                <w:sz w:val="22"/>
              </w:rPr>
              <w:t>$1,060</w:t>
            </w:r>
          </w:p>
        </w:tc>
        <w:tc>
          <w:tcPr>
            <w:tcW w:type="dxa" w:w="1234"/>
          </w:tcPr>
          <w:p>
            <w:r>
              <w:rPr>
                <w:rFonts w:ascii="Calibri" w:hAnsi="Calibri"/>
                <w:sz w:val="22"/>
              </w:rPr>
              <w:t>$1,201</w:t>
            </w:r>
          </w:p>
        </w:tc>
        <w:tc>
          <w:tcPr>
            <w:tcW w:type="dxa" w:w="1234"/>
          </w:tcPr>
          <w:p>
            <w:r>
              <w:rPr>
                <w:rFonts w:ascii="Calibri" w:hAnsi="Calibri"/>
                <w:sz w:val="22"/>
              </w:rPr>
              <w:t>+13.3%</w:t>
            </w:r>
          </w:p>
        </w:tc>
        <w:tc>
          <w:tcPr>
            <w:tcW w:type="dxa" w:w="1234"/>
          </w:tcPr>
          <w:p>
            <w:r>
              <w:rPr>
                <w:rFonts w:ascii="Calibri" w:hAnsi="Calibri"/>
                <w:sz w:val="22"/>
              </w:rPr>
              <w:t>Low to mid-teens growth</w:t>
            </w:r>
          </w:p>
        </w:tc>
        <w:tc>
          <w:tcPr>
            <w:tcW w:type="dxa" w:w="1234"/>
          </w:tcPr>
          <w:p>
            <w:r>
              <w:rPr>
                <w:rFonts w:ascii="Calibri" w:hAnsi="Calibri"/>
                <w:sz w:val="22"/>
              </w:rPr>
              <w:t>~In line with midpoint</w:t>
            </w:r>
          </w:p>
        </w:tc>
      </w:tr>
      <w:tr>
        <w:tc>
          <w:tcPr>
            <w:tcW w:type="dxa" w:w="1234"/>
          </w:tcPr>
          <w:p>
            <w:r>
              <w:rPr>
                <w:rFonts w:ascii="Calibri" w:hAnsi="Calibri"/>
                <w:sz w:val="22"/>
              </w:rPr>
              <w:t>MA Revenue ($M)</w:t>
            </w:r>
          </w:p>
        </w:tc>
        <w:tc>
          <w:tcPr>
            <w:tcW w:type="dxa" w:w="1234"/>
          </w:tcPr>
          <w:p>
            <w:r>
              <w:rPr>
                <w:rFonts w:ascii="Calibri" w:hAnsi="Calibri"/>
                <w:sz w:val="22"/>
              </w:rPr>
              <w:t>$929</w:t>
            </w:r>
          </w:p>
        </w:tc>
        <w:tc>
          <w:tcPr>
            <w:tcW w:type="dxa" w:w="1234"/>
          </w:tcPr>
          <w:p>
            <w:r>
              <w:rPr>
                <w:rFonts w:ascii="Calibri" w:hAnsi="Calibri"/>
                <w:sz w:val="22"/>
              </w:rPr>
              <w:t>$891</w:t>
            </w:r>
          </w:p>
        </w:tc>
        <w:tc>
          <w:tcPr>
            <w:tcW w:type="dxa" w:w="1234"/>
          </w:tcPr>
          <w:p>
            <w:r>
              <w:rPr>
                <w:rFonts w:ascii="Calibri" w:hAnsi="Calibri"/>
                <w:sz w:val="22"/>
              </w:rPr>
              <w:t>$933</w:t>
            </w:r>
          </w:p>
        </w:tc>
        <w:tc>
          <w:tcPr>
            <w:tcW w:type="dxa" w:w="1234"/>
          </w:tcPr>
          <w:p>
            <w:r>
              <w:rPr>
                <w:rFonts w:ascii="Calibri" w:hAnsi="Calibri"/>
                <w:sz w:val="22"/>
              </w:rPr>
              <w:t>+4.7%</w:t>
            </w:r>
          </w:p>
        </w:tc>
        <w:tc>
          <w:tcPr>
            <w:tcW w:type="dxa" w:w="1234"/>
          </w:tcPr>
          <w:p>
            <w:r>
              <w:rPr>
                <w:rFonts w:ascii="Calibri" w:hAnsi="Calibri"/>
                <w:sz w:val="22"/>
              </w:rPr>
              <w:t>Mid-single-digit % (lower end due to RAS divestiture)</w:t>
            </w:r>
          </w:p>
        </w:tc>
        <w:tc>
          <w:tcPr>
            <w:tcW w:type="dxa" w:w="1234"/>
          </w:tcPr>
          <w:p>
            <w:r>
              <w:rPr>
                <w:rFonts w:ascii="Calibri" w:hAnsi="Calibri"/>
                <w:sz w:val="22"/>
              </w:rPr>
              <w:t>In line</w:t>
            </w:r>
          </w:p>
        </w:tc>
      </w:tr>
      <w:tr>
        <w:tc>
          <w:tcPr>
            <w:tcW w:type="dxa" w:w="1234"/>
          </w:tcPr>
          <w:p>
            <w:r>
              <w:rPr>
                <w:rFonts w:ascii="Calibri" w:hAnsi="Calibri"/>
                <w:sz w:val="22"/>
              </w:rPr>
              <w:t>Adj. Diluted EPS ($)</w:t>
            </w:r>
          </w:p>
        </w:tc>
        <w:tc>
          <w:tcPr>
            <w:tcW w:type="dxa" w:w="1234"/>
          </w:tcPr>
          <w:p>
            <w:r>
              <w:rPr>
                <w:rFonts w:ascii="Calibri" w:hAnsi="Calibri"/>
                <w:sz w:val="22"/>
              </w:rPr>
              <w:t>$4.33</w:t>
            </w:r>
          </w:p>
        </w:tc>
        <w:tc>
          <w:tcPr>
            <w:tcW w:type="dxa" w:w="1234"/>
          </w:tcPr>
          <w:p>
            <w:r>
              <w:rPr>
                <w:rFonts w:ascii="Calibri" w:hAnsi="Calibri"/>
                <w:sz w:val="22"/>
              </w:rPr>
              <w:t>$3.56</w:t>
            </w:r>
          </w:p>
        </w:tc>
        <w:tc>
          <w:tcPr>
            <w:tcW w:type="dxa" w:w="1234"/>
          </w:tcPr>
          <w:p>
            <w:r>
              <w:rPr>
                <w:rFonts w:ascii="Calibri" w:hAnsi="Calibri"/>
                <w:sz w:val="22"/>
              </w:rPr>
              <w:t>$4.25</w:t>
            </w:r>
          </w:p>
        </w:tc>
        <w:tc>
          <w:tcPr>
            <w:tcW w:type="dxa" w:w="1234"/>
          </w:tcPr>
          <w:p>
            <w:r>
              <w:rPr>
                <w:rFonts w:ascii="Calibri" w:hAnsi="Calibri"/>
                <w:sz w:val="22"/>
              </w:rPr>
              <w:t>+19.4%</w:t>
            </w:r>
          </w:p>
        </w:tc>
        <w:tc>
          <w:tcPr>
            <w:tcW w:type="dxa" w:w="1234"/>
          </w:tcPr>
          <w:p>
            <w:r>
              <w:rPr>
                <w:rFonts w:ascii="Calibri" w:hAnsi="Calibri"/>
                <w:sz w:val="22"/>
              </w:rPr>
              <w:t>$4.15–$4.30</w:t>
            </w:r>
          </w:p>
        </w:tc>
        <w:tc>
          <w:tcPr>
            <w:tcW w:type="dxa" w:w="1234"/>
          </w:tcPr>
          <w:p>
            <w:r>
              <w:rPr>
                <w:rFonts w:ascii="Calibri" w:hAnsi="Calibri"/>
                <w:sz w:val="22"/>
              </w:rPr>
              <w:t>~+1% above midpoint ($4.225)</w:t>
            </w:r>
          </w:p>
        </w:tc>
      </w:tr>
      <w:tr>
        <w:tc>
          <w:tcPr>
            <w:tcW w:type="dxa" w:w="1234"/>
          </w:tcPr>
          <w:p>
            <w:r>
              <w:rPr>
                <w:rFonts w:ascii="Calibri" w:hAnsi="Calibri"/>
                <w:sz w:val="22"/>
              </w:rPr>
              <w:t>MIS Adj. Operating Income ($M)</w:t>
            </w:r>
          </w:p>
        </w:tc>
        <w:tc>
          <w:tcPr>
            <w:tcW w:type="dxa" w:w="1234"/>
          </w:tcPr>
          <w:p>
            <w:r>
              <w:rPr>
                <w:rFonts w:ascii="Calibri" w:hAnsi="Calibri"/>
                <w:sz w:val="22"/>
              </w:rPr>
              <w:t>$781</w:t>
            </w:r>
          </w:p>
        </w:tc>
        <w:tc>
          <w:tcPr>
            <w:tcW w:type="dxa" w:w="1234"/>
          </w:tcPr>
          <w:p>
            <w:r>
              <w:rPr>
                <w:rFonts w:ascii="Calibri" w:hAnsi="Calibri"/>
                <w:sz w:val="22"/>
              </w:rPr>
              <w:t>$657</w:t>
            </w:r>
          </w:p>
        </w:tc>
        <w:tc>
          <w:tcPr>
            <w:tcW w:type="dxa" w:w="1234"/>
          </w:tcPr>
          <w:p>
            <w:r>
              <w:rPr>
                <w:rFonts w:ascii="Calibri" w:hAnsi="Calibri"/>
                <w:sz w:val="22"/>
              </w:rPr>
              <w:t>$764</w:t>
            </w:r>
          </w:p>
        </w:tc>
        <w:tc>
          <w:tcPr>
            <w:tcW w:type="dxa" w:w="1234"/>
          </w:tcPr>
          <w:p>
            <w:r>
              <w:rPr>
                <w:rFonts w:ascii="Calibri" w:hAnsi="Calibri"/>
                <w:sz w:val="22"/>
              </w:rPr>
              <w:t>+16.3%</w:t>
            </w:r>
          </w:p>
        </w:tc>
        <w:tc>
          <w:tcPr>
            <w:tcW w:type="dxa" w:w="1234"/>
          </w:tcPr>
          <w:p>
            <w:r>
              <w:rPr>
                <w:rFonts w:ascii="Calibri" w:hAnsi="Calibri"/>
                <w:sz w:val="22"/>
              </w:rPr>
              <w:t>Margins above FY midpoint in Q2 &amp; Q3</w:t>
            </w:r>
          </w:p>
        </w:tc>
        <w:tc>
          <w:tcPr>
            <w:tcW w:type="dxa" w:w="1234"/>
          </w:tcPr>
          <w:p>
            <w:r>
              <w:rPr>
                <w:rFonts w:ascii="Calibri" w:hAnsi="Calibri"/>
                <w:sz w:val="22"/>
              </w:rPr>
              <w:t>In line</w:t>
            </w:r>
          </w:p>
        </w:tc>
      </w:tr>
      <w:tr>
        <w:tc>
          <w:tcPr>
            <w:tcW w:type="dxa" w:w="1234"/>
          </w:tcPr>
          <w:p>
            <w:r>
              <w:rPr>
                <w:rFonts w:ascii="Calibri" w:hAnsi="Calibri"/>
                <w:sz w:val="22"/>
              </w:rPr>
              <w:t>MA Adj. Operating Income ($M)</w:t>
            </w:r>
          </w:p>
        </w:tc>
        <w:tc>
          <w:tcPr>
            <w:tcW w:type="dxa" w:w="1234"/>
          </w:tcPr>
          <w:p>
            <w:r>
              <w:rPr>
                <w:rFonts w:ascii="Calibri" w:hAnsi="Calibri"/>
                <w:sz w:val="22"/>
              </w:rPr>
              <w:t>$202</w:t>
            </w:r>
          </w:p>
        </w:tc>
        <w:tc>
          <w:tcPr>
            <w:tcW w:type="dxa" w:w="1234"/>
          </w:tcPr>
          <w:p>
            <w:r>
              <w:rPr>
                <w:rFonts w:ascii="Calibri" w:hAnsi="Calibri"/>
                <w:sz w:val="22"/>
              </w:rPr>
              <w:t>$189</w:t>
            </w:r>
          </w:p>
        </w:tc>
        <w:tc>
          <w:tcPr>
            <w:tcW w:type="dxa" w:w="1234"/>
          </w:tcPr>
          <w:p>
            <w:r>
              <w:rPr>
                <w:rFonts w:ascii="Calibri" w:hAnsi="Calibri"/>
                <w:sz w:val="22"/>
              </w:rPr>
              <w:t>$213</w:t>
            </w:r>
          </w:p>
        </w:tc>
        <w:tc>
          <w:tcPr>
            <w:tcW w:type="dxa" w:w="1234"/>
          </w:tcPr>
          <w:p>
            <w:r>
              <w:rPr>
                <w:rFonts w:ascii="Calibri" w:hAnsi="Calibri"/>
                <w:sz w:val="22"/>
              </w:rPr>
              <w:t>+12.7%</w:t>
            </w:r>
          </w:p>
        </w:tc>
        <w:tc>
          <w:tcPr>
            <w:tcW w:type="dxa" w:w="1234"/>
          </w:tcPr>
          <w:p>
            <w:r>
              <w:rPr>
                <w:rFonts w:ascii="Calibri" w:hAnsi="Calibri"/>
                <w:sz w:val="22"/>
              </w:rPr>
              <w:t>34%–35% FY margin; modest Q2 step-up</w:t>
            </w:r>
          </w:p>
        </w:tc>
        <w:tc>
          <w:tcPr>
            <w:tcW w:type="dxa" w:w="1234"/>
          </w:tcPr>
          <w:p>
            <w:r>
              <w:rPr>
                <w:rFonts w:ascii="Calibri" w:hAnsi="Calibri"/>
                <w:sz w:val="22"/>
              </w:rPr>
              <w:t>Slight beat vs. Q2 step-up guidance</w:t>
            </w:r>
          </w:p>
        </w:tc>
      </w:tr>
      <w:tr>
        <w:tc>
          <w:tcPr>
            <w:tcW w:type="dxa" w:w="1234"/>
          </w:tcPr>
          <w:p>
            <w:r>
              <w:rPr>
                <w:rFonts w:ascii="Calibri" w:hAnsi="Calibri"/>
                <w:sz w:val="22"/>
              </w:rPr>
              <w:t>Total ARR ($B)</w:t>
            </w:r>
          </w:p>
        </w:tc>
        <w:tc>
          <w:tcPr>
            <w:tcW w:type="dxa" w:w="1234"/>
          </w:tcPr>
          <w:p>
            <w:r>
              <w:rPr>
                <w:rFonts w:ascii="Calibri" w:hAnsi="Calibri"/>
                <w:sz w:val="22"/>
              </w:rPr>
              <w:t>$3.607</w:t>
            </w:r>
          </w:p>
        </w:tc>
        <w:tc>
          <w:tcPr>
            <w:tcW w:type="dxa" w:w="1234"/>
          </w:tcPr>
          <w:p>
            <w:r>
              <w:rPr>
                <w:rFonts w:ascii="Calibri" w:hAnsi="Calibri"/>
                <w:sz w:val="22"/>
              </w:rPr>
              <w:t>$3.297</w:t>
            </w:r>
          </w:p>
        </w:tc>
        <w:tc>
          <w:tcPr>
            <w:tcW w:type="dxa" w:w="1234"/>
          </w:tcPr>
          <w:p>
            <w:r>
              <w:rPr>
                <w:rFonts w:ascii="Calibri" w:hAnsi="Calibri"/>
                <w:sz w:val="22"/>
              </w:rPr>
              <w:t>$3.592</w:t>
            </w:r>
          </w:p>
        </w:tc>
        <w:tc>
          <w:tcPr>
            <w:tcW w:type="dxa" w:w="1234"/>
          </w:tcPr>
          <w:p>
            <w:r>
              <w:rPr>
                <w:rFonts w:ascii="Calibri" w:hAnsi="Calibri"/>
                <w:sz w:val="22"/>
              </w:rPr>
              <w:t>+9.0%</w:t>
            </w:r>
          </w:p>
        </w:tc>
        <w:tc>
          <w:tcPr>
            <w:tcW w:type="dxa" w:w="1234"/>
          </w:tcPr>
          <w:p>
            <w:r>
              <w:rPr>
                <w:rFonts w:ascii="Calibri" w:hAnsi="Calibri"/>
                <w:sz w:val="22"/>
              </w:rPr>
              <w:t>High single-digit % growth</w:t>
            </w:r>
          </w:p>
        </w:tc>
        <w:tc>
          <w:tcPr>
            <w:tcW w:type="dxa" w:w="1234"/>
          </w:tcPr>
          <w:p>
            <w:r>
              <w:rPr>
                <w:rFonts w:ascii="Calibri" w:hAnsi="Calibri"/>
                <w:sz w:val="22"/>
              </w:rPr>
              <w:t>In line</w:t>
            </w:r>
          </w:p>
        </w:tc>
      </w:tr>
      <w:tr>
        <w:tc>
          <w:tcPr>
            <w:tcW w:type="dxa" w:w="1234"/>
          </w:tcPr>
          <w:p>
            <w:r>
              <w:rPr>
                <w:rFonts w:ascii="Calibri" w:hAnsi="Calibri"/>
                <w:sz w:val="22"/>
              </w:rPr>
              <w:t>Free Cash Flow ($M)</w:t>
            </w:r>
          </w:p>
        </w:tc>
        <w:tc>
          <w:tcPr>
            <w:tcW w:type="dxa" w:w="1234"/>
          </w:tcPr>
          <w:p>
            <w:r>
              <w:rPr>
                <w:rFonts w:ascii="Calibri" w:hAnsi="Calibri"/>
                <w:sz w:val="22"/>
              </w:rPr>
              <w:t>$844</w:t>
            </w:r>
          </w:p>
        </w:tc>
        <w:tc>
          <w:tcPr>
            <w:tcW w:type="dxa" w:w="1234"/>
          </w:tcPr>
          <w:p>
            <w:r>
              <w:rPr>
                <w:rFonts w:ascii="Calibri" w:hAnsi="Calibri"/>
                <w:sz w:val="22"/>
              </w:rPr>
              <w:t>$468</w:t>
            </w:r>
          </w:p>
        </w:tc>
        <w:tc>
          <w:tcPr>
            <w:tcW w:type="dxa" w:w="1234"/>
          </w:tcPr>
          <w:p>
            <w:r>
              <w:rPr>
                <w:rFonts w:ascii="Calibri" w:hAnsi="Calibri"/>
                <w:sz w:val="22"/>
              </w:rPr>
              <w:t>$502</w:t>
            </w:r>
          </w:p>
        </w:tc>
        <w:tc>
          <w:tcPr>
            <w:tcW w:type="dxa" w:w="1234"/>
          </w:tcPr>
          <w:p>
            <w:r>
              <w:rPr>
                <w:rFonts w:ascii="Calibri" w:hAnsi="Calibri"/>
                <w:sz w:val="22"/>
              </w:rPr>
              <w:t>+7.3%</w:t>
            </w:r>
          </w:p>
        </w:tc>
        <w:tc>
          <w:tcPr>
            <w:tcW w:type="dxa" w:w="1234"/>
          </w:tcPr>
          <w:p>
            <w:r>
              <w:rPr>
                <w:rFonts w:ascii="Calibri" w:hAnsi="Calibri"/>
                <w:sz w:val="22"/>
              </w:rPr>
              <w:t>~$2.8–$3.0B FY target</w:t>
            </w:r>
          </w:p>
        </w:tc>
        <w:tc>
          <w:tcPr>
            <w:tcW w:type="dxa" w:w="1234"/>
          </w:tcPr>
          <w:p>
            <w:r>
              <w:rPr>
                <w:rFonts w:ascii="Calibri" w:hAnsi="Calibri"/>
                <w:sz w:val="22"/>
              </w:rPr>
              <w:t>N/A (quarterly FCF lumpy)</w:t>
            </w:r>
          </w:p>
        </w:tc>
      </w:tr>
    </w:tbl>
    <w:p>
      <w:r>
        <w:rPr>
          <w:rFonts w:ascii="Calibri" w:hAnsi="Calibri"/>
          <w:i/>
          <w:color w:val="525866"/>
          <w:sz w:val="22"/>
        </w:rPr>
        <w:t>Sources: Visible Alpha consensus and actuals data. Q2 2026 consensus as of July 21, 2026. MIS Adj. Operating Income Q2 2026 consensus of $764M and MA Adj. Operating Income of $213M per Visible Alpha. ARR consensus of $3.592B per Visible Alpha. FCF Q2 2026 consensus of $502M per Visible Alpha.</w:t>
      </w:r>
    </w:p>
    <w:p>
      <w:pPr>
        <w:pStyle w:val="Heading3"/>
      </w:pPr>
      <w:r>
        <w:rPr>
          <w:rFonts w:ascii="Calibri" w:hAnsi="Calibri"/>
          <w:b/>
          <w:color w:val="3B4259"/>
          <w:sz w:val="24"/>
        </w:rPr>
        <w:t>Table 2 — Beat/Miss History (Last 8 Quarters, Top 2 KPIs)</w:t>
      </w:r>
    </w:p>
    <w:p>
      <w:pPr>
        <w:pStyle w:val="Heading4"/>
      </w:pPr>
      <w:r>
        <w:rPr>
          <w:rFonts w:ascii="Calibri" w:hAnsi="Calibri"/>
          <w:b/>
          <w:color w:val="3B4259"/>
          <w:sz w:val="22"/>
        </w:rPr>
        <w:t>MIS Revenue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($M)</w:t>
            </w:r>
          </w:p>
        </w:tc>
        <w:tc>
          <w:tcPr>
            <w:tcW w:type="dxa" w:w="1728"/>
            <w:shd w:val="clear" w:color="auto" w:fill="3B4259"/>
          </w:tcPr>
          <w:p>
            <w:r>
              <w:rPr>
                <w:rFonts w:ascii="Calibri" w:hAnsi="Calibri"/>
                <w:b/>
                <w:color w:val="FFFFFF"/>
                <w:sz w:val="22"/>
              </w:rPr>
              <w:t>Consensus ($M)</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$1,204</w:t>
            </w:r>
          </w:p>
        </w:tc>
        <w:tc>
          <w:tcPr>
            <w:tcW w:type="dxa" w:w="1728"/>
          </w:tcPr>
          <w:p>
            <w:r>
              <w:rPr>
                <w:rFonts w:ascii="Calibri" w:hAnsi="Calibri"/>
                <w:sz w:val="22"/>
              </w:rPr>
              <w:t>$1,192</w:t>
            </w:r>
          </w:p>
        </w:tc>
        <w:tc>
          <w:tcPr>
            <w:tcW w:type="dxa" w:w="1728"/>
          </w:tcPr>
          <w:p>
            <w:r>
              <w:rPr>
                <w:rFonts w:ascii="Calibri" w:hAnsi="Calibri"/>
                <w:sz w:val="22"/>
              </w:rPr>
              <w:t>+1.0%</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$995</w:t>
            </w:r>
          </w:p>
        </w:tc>
        <w:tc>
          <w:tcPr>
            <w:tcW w:type="dxa" w:w="1728"/>
          </w:tcPr>
          <w:p>
            <w:r>
              <w:rPr>
                <w:rFonts w:ascii="Calibri" w:hAnsi="Calibri"/>
                <w:sz w:val="22"/>
              </w:rPr>
              <w:t>$969</w:t>
            </w:r>
          </w:p>
        </w:tc>
        <w:tc>
          <w:tcPr>
            <w:tcW w:type="dxa" w:w="1728"/>
          </w:tcPr>
          <w:p>
            <w:r>
              <w:rPr>
                <w:rFonts w:ascii="Calibri" w:hAnsi="Calibri"/>
                <w:sz w:val="22"/>
              </w:rPr>
              <w:t>+2.7%</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$1,148</w:t>
            </w:r>
          </w:p>
        </w:tc>
        <w:tc>
          <w:tcPr>
            <w:tcW w:type="dxa" w:w="1728"/>
          </w:tcPr>
          <w:p>
            <w:r>
              <w:rPr>
                <w:rFonts w:ascii="Calibri" w:hAnsi="Calibri"/>
                <w:sz w:val="22"/>
              </w:rPr>
              <w:t>$1,093</w:t>
            </w:r>
          </w:p>
        </w:tc>
        <w:tc>
          <w:tcPr>
            <w:tcW w:type="dxa" w:w="1728"/>
          </w:tcPr>
          <w:p>
            <w:r>
              <w:rPr>
                <w:rFonts w:ascii="Calibri" w:hAnsi="Calibri"/>
                <w:sz w:val="22"/>
              </w:rPr>
              <w:t>+5.0%</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$1,060</w:t>
            </w:r>
          </w:p>
        </w:tc>
        <w:tc>
          <w:tcPr>
            <w:tcW w:type="dxa" w:w="1728"/>
          </w:tcPr>
          <w:p>
            <w:r>
              <w:rPr>
                <w:rFonts w:ascii="Calibri" w:hAnsi="Calibri"/>
                <w:sz w:val="22"/>
              </w:rPr>
              <w:t>$1,020</w:t>
            </w:r>
          </w:p>
        </w:tc>
        <w:tc>
          <w:tcPr>
            <w:tcW w:type="dxa" w:w="1728"/>
          </w:tcPr>
          <w:p>
            <w:r>
              <w:rPr>
                <w:rFonts w:ascii="Calibri" w:hAnsi="Calibri"/>
                <w:sz w:val="22"/>
              </w:rPr>
              <w:t>+3.9%</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$1,114</w:t>
            </w:r>
          </w:p>
        </w:tc>
        <w:tc>
          <w:tcPr>
            <w:tcW w:type="dxa" w:w="1728"/>
          </w:tcPr>
          <w:p>
            <w:r>
              <w:rPr>
                <w:rFonts w:ascii="Calibri" w:hAnsi="Calibri"/>
                <w:sz w:val="22"/>
              </w:rPr>
              <w:t>$1,059</w:t>
            </w:r>
          </w:p>
        </w:tc>
        <w:tc>
          <w:tcPr>
            <w:tcW w:type="dxa" w:w="1728"/>
          </w:tcPr>
          <w:p>
            <w:r>
              <w:rPr>
                <w:rFonts w:ascii="Calibri" w:hAnsi="Calibri"/>
                <w:sz w:val="22"/>
              </w:rPr>
              <w:t>+5.2%</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$858</w:t>
            </w:r>
          </w:p>
        </w:tc>
        <w:tc>
          <w:tcPr>
            <w:tcW w:type="dxa" w:w="1728"/>
          </w:tcPr>
          <w:p>
            <w:r>
              <w:rPr>
                <w:rFonts w:ascii="Calibri" w:hAnsi="Calibri"/>
                <w:sz w:val="22"/>
              </w:rPr>
              <w:t>$889</w:t>
            </w:r>
          </w:p>
        </w:tc>
        <w:tc>
          <w:tcPr>
            <w:tcW w:type="dxa" w:w="1728"/>
          </w:tcPr>
          <w:p>
            <w:r>
              <w:rPr>
                <w:rFonts w:ascii="Calibri" w:hAnsi="Calibri"/>
                <w:sz w:val="22"/>
              </w:rPr>
              <w:t>-3.5%</w:t>
            </w:r>
          </w:p>
        </w:tc>
        <w:tc>
          <w:tcPr>
            <w:tcW w:type="dxa" w:w="1728"/>
          </w:tcPr>
          <w:p>
            <w:r>
              <w:rPr>
                <w:rFonts w:ascii="Calibri" w:hAnsi="Calibri"/>
                <w:b/>
                <w:color w:val="E5484D"/>
                <w:sz w:val="22"/>
              </w:rPr>
              <w:t>Miss</w:t>
            </w:r>
          </w:p>
        </w:tc>
      </w:tr>
      <w:tr>
        <w:tc>
          <w:tcPr>
            <w:tcW w:type="dxa" w:w="1728"/>
          </w:tcPr>
          <w:p>
            <w:r>
              <w:rPr>
                <w:rFonts w:ascii="Calibri" w:hAnsi="Calibri"/>
                <w:sz w:val="22"/>
              </w:rPr>
              <w:t>Q3 2024</w:t>
            </w:r>
          </w:p>
        </w:tc>
        <w:tc>
          <w:tcPr>
            <w:tcW w:type="dxa" w:w="1728"/>
          </w:tcPr>
          <w:p>
            <w:r>
              <w:rPr>
                <w:rFonts w:ascii="Calibri" w:hAnsi="Calibri"/>
                <w:sz w:val="22"/>
              </w:rPr>
              <w:t>$1,030</w:t>
            </w:r>
          </w:p>
        </w:tc>
        <w:tc>
          <w:tcPr>
            <w:tcW w:type="dxa" w:w="1728"/>
          </w:tcPr>
          <w:p>
            <w:r>
              <w:rPr>
                <w:rFonts w:ascii="Calibri" w:hAnsi="Calibri"/>
                <w:sz w:val="22"/>
              </w:rPr>
              <w:t>$931</w:t>
            </w:r>
          </w:p>
        </w:tc>
        <w:tc>
          <w:tcPr>
            <w:tcW w:type="dxa" w:w="1728"/>
          </w:tcPr>
          <w:p>
            <w:r>
              <w:rPr>
                <w:rFonts w:ascii="Calibri" w:hAnsi="Calibri"/>
                <w:sz w:val="22"/>
              </w:rPr>
              <w:t>+10.6%</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$1,064</w:t>
            </w:r>
          </w:p>
        </w:tc>
        <w:tc>
          <w:tcPr>
            <w:tcW w:type="dxa" w:w="1728"/>
          </w:tcPr>
          <w:p>
            <w:r>
              <w:rPr>
                <w:rFonts w:ascii="Calibri" w:hAnsi="Calibri"/>
                <w:sz w:val="22"/>
              </w:rPr>
              <w:t>$964</w:t>
            </w:r>
          </w:p>
        </w:tc>
        <w:tc>
          <w:tcPr>
            <w:tcW w:type="dxa" w:w="1728"/>
          </w:tcPr>
          <w:p>
            <w:r>
              <w:rPr>
                <w:rFonts w:ascii="Calibri" w:hAnsi="Calibri"/>
                <w:sz w:val="22"/>
              </w:rPr>
              <w:t>+10.4%</w:t>
            </w:r>
          </w:p>
        </w:tc>
        <w:tc>
          <w:tcPr>
            <w:tcW w:type="dxa" w:w="1728"/>
          </w:tcPr>
          <w:p>
            <w:r>
              <w:rPr>
                <w:rFonts w:ascii="Calibri" w:hAnsi="Calibri"/>
                <w:b/>
                <w:color w:val="30A46C"/>
                <w:sz w:val="22"/>
              </w:rPr>
              <w:t>Beat</w:t>
            </w:r>
          </w:p>
        </w:tc>
      </w:tr>
    </w:tbl>
    <w:p>
      <w:pPr>
        <w:pStyle w:val="Heading4"/>
      </w:pPr>
      <w:r>
        <w:rPr>
          <w:rFonts w:ascii="Calibri" w:hAnsi="Calibri"/>
          <w:b/>
          <w:color w:val="3B4259"/>
          <w:sz w:val="22"/>
        </w:rPr>
        <w:t>Adj. Diluted EPS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$4.33</w:t>
            </w:r>
          </w:p>
        </w:tc>
        <w:tc>
          <w:tcPr>
            <w:tcW w:type="dxa" w:w="1728"/>
          </w:tcPr>
          <w:p>
            <w:r>
              <w:rPr>
                <w:rFonts w:ascii="Calibri" w:hAnsi="Calibri"/>
                <w:sz w:val="22"/>
              </w:rPr>
              <w:t>$4.20</w:t>
            </w:r>
          </w:p>
        </w:tc>
        <w:tc>
          <w:tcPr>
            <w:tcW w:type="dxa" w:w="1728"/>
          </w:tcPr>
          <w:p>
            <w:r>
              <w:rPr>
                <w:rFonts w:ascii="Calibri" w:hAnsi="Calibri"/>
                <w:sz w:val="22"/>
              </w:rPr>
              <w:t>+3.1%</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$3.64</w:t>
            </w:r>
          </w:p>
        </w:tc>
        <w:tc>
          <w:tcPr>
            <w:tcW w:type="dxa" w:w="1728"/>
          </w:tcPr>
          <w:p>
            <w:r>
              <w:rPr>
                <w:rFonts w:ascii="Calibri" w:hAnsi="Calibri"/>
                <w:sz w:val="22"/>
              </w:rPr>
              <w:t>$3.41</w:t>
            </w:r>
          </w:p>
        </w:tc>
        <w:tc>
          <w:tcPr>
            <w:tcW w:type="dxa" w:w="1728"/>
          </w:tcPr>
          <w:p>
            <w:r>
              <w:rPr>
                <w:rFonts w:ascii="Calibri" w:hAnsi="Calibri"/>
                <w:sz w:val="22"/>
              </w:rPr>
              <w:t>+6.7%</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$3.92</w:t>
            </w:r>
          </w:p>
        </w:tc>
        <w:tc>
          <w:tcPr>
            <w:tcW w:type="dxa" w:w="1728"/>
          </w:tcPr>
          <w:p>
            <w:r>
              <w:rPr>
                <w:rFonts w:ascii="Calibri" w:hAnsi="Calibri"/>
                <w:sz w:val="22"/>
              </w:rPr>
              <w:t>$3.67</w:t>
            </w:r>
          </w:p>
        </w:tc>
        <w:tc>
          <w:tcPr>
            <w:tcW w:type="dxa" w:w="1728"/>
          </w:tcPr>
          <w:p>
            <w:r>
              <w:rPr>
                <w:rFonts w:ascii="Calibri" w:hAnsi="Calibri"/>
                <w:sz w:val="22"/>
              </w:rPr>
              <w:t>+6.8%</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$3.56</w:t>
            </w:r>
          </w:p>
        </w:tc>
        <w:tc>
          <w:tcPr>
            <w:tcW w:type="dxa" w:w="1728"/>
          </w:tcPr>
          <w:p>
            <w:r>
              <w:rPr>
                <w:rFonts w:ascii="Calibri" w:hAnsi="Calibri"/>
                <w:sz w:val="22"/>
              </w:rPr>
              <w:t>$3.38</w:t>
            </w:r>
          </w:p>
        </w:tc>
        <w:tc>
          <w:tcPr>
            <w:tcW w:type="dxa" w:w="1728"/>
          </w:tcPr>
          <w:p>
            <w:r>
              <w:rPr>
                <w:rFonts w:ascii="Calibri" w:hAnsi="Calibri"/>
                <w:sz w:val="22"/>
              </w:rPr>
              <w:t>+5.3%</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$3.83</w:t>
            </w:r>
          </w:p>
        </w:tc>
        <w:tc>
          <w:tcPr>
            <w:tcW w:type="dxa" w:w="1728"/>
          </w:tcPr>
          <w:p>
            <w:r>
              <w:rPr>
                <w:rFonts w:ascii="Calibri" w:hAnsi="Calibri"/>
                <w:sz w:val="22"/>
              </w:rPr>
              <w:t>$3.54</w:t>
            </w:r>
          </w:p>
        </w:tc>
        <w:tc>
          <w:tcPr>
            <w:tcW w:type="dxa" w:w="1728"/>
          </w:tcPr>
          <w:p>
            <w:r>
              <w:rPr>
                <w:rFonts w:ascii="Calibri" w:hAnsi="Calibri"/>
                <w:sz w:val="22"/>
              </w:rPr>
              <w:t>+8.2%</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$2.62</w:t>
            </w:r>
          </w:p>
        </w:tc>
        <w:tc>
          <w:tcPr>
            <w:tcW w:type="dxa" w:w="1728"/>
          </w:tcPr>
          <w:p>
            <w:r>
              <w:rPr>
                <w:rFonts w:ascii="Calibri" w:hAnsi="Calibri"/>
                <w:sz w:val="22"/>
              </w:rPr>
              <w:t>$2.59</w:t>
            </w:r>
          </w:p>
        </w:tc>
        <w:tc>
          <w:tcPr>
            <w:tcW w:type="dxa" w:w="1728"/>
          </w:tcPr>
          <w:p>
            <w:r>
              <w:rPr>
                <w:rFonts w:ascii="Calibri" w:hAnsi="Calibri"/>
                <w:sz w:val="22"/>
              </w:rPr>
              <w:t>+1.2%</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$3.21</w:t>
            </w:r>
          </w:p>
        </w:tc>
        <w:tc>
          <w:tcPr>
            <w:tcW w:type="dxa" w:w="1728"/>
          </w:tcPr>
          <w:p>
            <w:r>
              <w:rPr>
                <w:rFonts w:ascii="Calibri" w:hAnsi="Calibri"/>
                <w:sz w:val="22"/>
              </w:rPr>
              <w:t>$2.91</w:t>
            </w:r>
          </w:p>
        </w:tc>
        <w:tc>
          <w:tcPr>
            <w:tcW w:type="dxa" w:w="1728"/>
          </w:tcPr>
          <w:p>
            <w:r>
              <w:rPr>
                <w:rFonts w:ascii="Calibri" w:hAnsi="Calibri"/>
                <w:sz w:val="22"/>
              </w:rPr>
              <w:t>+10.3%</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$3.28</w:t>
            </w:r>
          </w:p>
        </w:tc>
        <w:tc>
          <w:tcPr>
            <w:tcW w:type="dxa" w:w="1728"/>
          </w:tcPr>
          <w:p>
            <w:r>
              <w:rPr>
                <w:rFonts w:ascii="Calibri" w:hAnsi="Calibri"/>
                <w:sz w:val="22"/>
              </w:rPr>
              <w:t>$3.05</w:t>
            </w:r>
          </w:p>
        </w:tc>
        <w:tc>
          <w:tcPr>
            <w:tcW w:type="dxa" w:w="1728"/>
          </w:tcPr>
          <w:p>
            <w:r>
              <w:rPr>
                <w:rFonts w:ascii="Calibri" w:hAnsi="Calibri"/>
                <w:sz w:val="22"/>
              </w:rPr>
              <w:t>+7.5%</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i/>
          <w:color w:val="525866"/>
          <w:sz w:val="22"/>
        </w:rPr>
        <w:t>MCO has beaten adj. EPS consensus in 8 of the last 8 quarters with an average surprise of +6.1%; MIS revenue has beaten in 7 of 8 quarters (only miss was Q4 2024 when seasonally weak issuance undershot), with an average beat of +4.4% — establishing a strong track record of upside delivery that the market has partially priced in through the premium multiple.</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has been largely unchanged since the Q1 2026 earnings call on April 22, with the notable exception of a </w:t>
      </w:r>
      <w:r>
        <w:rPr>
          <w:rFonts w:ascii="Calibri" w:hAnsi="Calibri"/>
          <w:b/>
          <w:color w:val="525866"/>
          <w:sz w:val="22"/>
        </w:rPr>
        <w:t>$500M increase in buyback guidance</w:t>
      </w:r>
      <w:r>
        <w:rPr>
          <w:rFonts w:ascii="Calibri" w:hAnsi="Calibri"/>
          <w:color w:val="525866"/>
          <w:sz w:val="22"/>
        </w:rPr>
        <w:t>; management's tone has remained constructive, anchored by the view that market turbulence was contained to April and that structural issuance drivers remain intact.</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22)</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MCO Revenue Growth (FY 2026)</w:t>
            </w:r>
          </w:p>
        </w:tc>
        <w:tc>
          <w:tcPr>
            <w:tcW w:type="dxa" w:w="1728"/>
          </w:tcPr>
          <w:p>
            <w:r>
              <w:rPr>
                <w:rFonts w:ascii="Calibri" w:hAnsi="Calibri"/>
                <w:sz w:val="22"/>
              </w:rPr>
              <w:t>High single-digit % (toward lower end due to RAS divestiture)</w:t>
            </w:r>
          </w:p>
        </w:tc>
        <w:tc>
          <w:tcPr>
            <w:tcW w:type="dxa" w:w="1728"/>
          </w:tcPr>
          <w:p>
            <w:r>
              <w:rPr>
                <w:rFonts w:ascii="Calibri" w:hAnsi="Calibri"/>
                <w:sz w:val="22"/>
              </w:rPr>
              <w:t>—</w:t>
            </w:r>
          </w:p>
        </w:tc>
        <w:tc>
          <w:tcPr>
            <w:tcW w:type="dxa" w:w="1728"/>
          </w:tcPr>
          <w:p>
            <w:r>
              <w:rPr>
                <w:rFonts w:ascii="Calibri" w:hAnsi="Calibri"/>
                <w:sz w:val="22"/>
              </w:rPr>
              <w:t>~+8% YoY ($8.26B)</w:t>
            </w:r>
          </w:p>
        </w:tc>
        <w:tc>
          <w:tcPr>
            <w:tcW w:type="dxa" w:w="1728"/>
          </w:tcPr>
          <w:p>
            <w:r>
              <w:rPr>
                <w:rFonts w:ascii="Calibri" w:hAnsi="Calibri"/>
                <w:sz w:val="22"/>
              </w:rPr>
              <w:t>Unchanged; RAS divestiture (closed Apr 30) nudges toward lower end of range</w:t>
            </w:r>
          </w:p>
        </w:tc>
      </w:tr>
      <w:tr>
        <w:tc>
          <w:tcPr>
            <w:tcW w:type="dxa" w:w="1728"/>
          </w:tcPr>
          <w:p>
            <w:r>
              <w:rPr>
                <w:rFonts w:ascii="Calibri" w:hAnsi="Calibri"/>
                <w:sz w:val="22"/>
              </w:rPr>
              <w:t>MIS Revenue Growth (Q2 2026)</w:t>
            </w:r>
          </w:p>
        </w:tc>
        <w:tc>
          <w:tcPr>
            <w:tcW w:type="dxa" w:w="1728"/>
          </w:tcPr>
          <w:p>
            <w:r>
              <w:rPr>
                <w:rFonts w:ascii="Calibri" w:hAnsi="Calibri"/>
                <w:sz w:val="22"/>
              </w:rPr>
              <w:t>Low to mid-teens %</w:t>
            </w:r>
          </w:p>
        </w:tc>
        <w:tc>
          <w:tcPr>
            <w:tcW w:type="dxa" w:w="1728"/>
          </w:tcPr>
          <w:p>
            <w:r>
              <w:rPr>
                <w:rFonts w:ascii="Calibri" w:hAnsi="Calibri"/>
                <w:sz w:val="22"/>
              </w:rPr>
              <w:t>—</w:t>
            </w:r>
          </w:p>
        </w:tc>
        <w:tc>
          <w:tcPr>
            <w:tcW w:type="dxa" w:w="1728"/>
          </w:tcPr>
          <w:p>
            <w:r>
              <w:rPr>
                <w:rFonts w:ascii="Calibri" w:hAnsi="Calibri"/>
                <w:sz w:val="22"/>
              </w:rPr>
              <w:t>~+13% YoY ($1.20B)</w:t>
            </w:r>
          </w:p>
        </w:tc>
        <w:tc>
          <w:tcPr>
            <w:tcW w:type="dxa" w:w="1728"/>
          </w:tcPr>
          <w:p>
            <w:r>
              <w:rPr>
                <w:rFonts w:ascii="Calibri" w:hAnsi="Calibri"/>
                <w:sz w:val="22"/>
              </w:rPr>
              <w:t>Unchanged; consensus at low end of guided range</w:t>
            </w:r>
          </w:p>
        </w:tc>
      </w:tr>
      <w:tr>
        <w:tc>
          <w:tcPr>
            <w:tcW w:type="dxa" w:w="1728"/>
          </w:tcPr>
          <w:p>
            <w:r>
              <w:rPr>
                <w:rFonts w:ascii="Calibri" w:hAnsi="Calibri"/>
                <w:sz w:val="22"/>
              </w:rPr>
              <w:t>MA Revenue Growth (FY 2026)</w:t>
            </w:r>
          </w:p>
        </w:tc>
        <w:tc>
          <w:tcPr>
            <w:tcW w:type="dxa" w:w="1728"/>
          </w:tcPr>
          <w:p>
            <w:r>
              <w:rPr>
                <w:rFonts w:ascii="Calibri" w:hAnsi="Calibri"/>
                <w:sz w:val="22"/>
              </w:rPr>
              <w:t>Mid-single-digit % (lower end, ex-RAS)</w:t>
            </w:r>
          </w:p>
        </w:tc>
        <w:tc>
          <w:tcPr>
            <w:tcW w:type="dxa" w:w="1728"/>
          </w:tcPr>
          <w:p>
            <w:r>
              <w:rPr>
                <w:rFonts w:ascii="Calibri" w:hAnsi="Calibri"/>
                <w:sz w:val="22"/>
              </w:rPr>
              <w:t>—</w:t>
            </w:r>
          </w:p>
        </w:tc>
        <w:tc>
          <w:tcPr>
            <w:tcW w:type="dxa" w:w="1728"/>
          </w:tcPr>
          <w:p>
            <w:r>
              <w:rPr>
                <w:rFonts w:ascii="Calibri" w:hAnsi="Calibri"/>
                <w:sz w:val="22"/>
              </w:rPr>
              <w:t>~+5% YoY ($3.79B)</w:t>
            </w:r>
          </w:p>
        </w:tc>
        <w:tc>
          <w:tcPr>
            <w:tcW w:type="dxa" w:w="1728"/>
          </w:tcPr>
          <w:p>
            <w:r>
              <w:rPr>
                <w:rFonts w:ascii="Calibri" w:hAnsi="Calibri"/>
                <w:sz w:val="22"/>
              </w:rPr>
              <w:t>Unchanged; ARR/organic growth anchored at high single-digit %</w:t>
            </w:r>
          </w:p>
        </w:tc>
      </w:tr>
      <w:tr>
        <w:tc>
          <w:tcPr>
            <w:tcW w:type="dxa" w:w="1728"/>
          </w:tcPr>
          <w:p>
            <w:r>
              <w:rPr>
                <w:rFonts w:ascii="Calibri" w:hAnsi="Calibri"/>
                <w:sz w:val="22"/>
              </w:rPr>
              <w:t>MA ARR Growth (FY 2026)</w:t>
            </w:r>
          </w:p>
        </w:tc>
        <w:tc>
          <w:tcPr>
            <w:tcW w:type="dxa" w:w="1728"/>
          </w:tcPr>
          <w:p>
            <w:r>
              <w:rPr>
                <w:rFonts w:ascii="Calibri" w:hAnsi="Calibri"/>
                <w:sz w:val="22"/>
              </w:rPr>
              <w:t>High single-digit %</w:t>
            </w:r>
          </w:p>
        </w:tc>
        <w:tc>
          <w:tcPr>
            <w:tcW w:type="dxa" w:w="1728"/>
          </w:tcPr>
          <w:p>
            <w:r>
              <w:rPr>
                <w:rFonts w:ascii="Calibri" w:hAnsi="Calibri"/>
                <w:sz w:val="22"/>
              </w:rPr>
              <w:t>—</w:t>
            </w:r>
          </w:p>
        </w:tc>
        <w:tc>
          <w:tcPr>
            <w:tcW w:type="dxa" w:w="1728"/>
          </w:tcPr>
          <w:p>
            <w:r>
              <w:rPr>
                <w:rFonts w:ascii="Calibri" w:hAnsi="Calibri"/>
                <w:sz w:val="22"/>
              </w:rPr>
              <w:t>~+8% YoY ($3.81B)</w:t>
            </w:r>
          </w:p>
        </w:tc>
        <w:tc>
          <w:tcPr>
            <w:tcW w:type="dxa" w:w="1728"/>
          </w:tcPr>
          <w:p>
            <w:r>
              <w:rPr>
                <w:rFonts w:ascii="Calibri" w:hAnsi="Calibri"/>
                <w:sz w:val="22"/>
              </w:rPr>
              <w:t>Unchanged; management expressed confidence on Apr 22 call</w:t>
            </w:r>
          </w:p>
        </w:tc>
      </w:tr>
      <w:tr>
        <w:tc>
          <w:tcPr>
            <w:tcW w:type="dxa" w:w="1728"/>
          </w:tcPr>
          <w:p>
            <w:r>
              <w:rPr>
                <w:rFonts w:ascii="Calibri" w:hAnsi="Calibri"/>
                <w:sz w:val="22"/>
              </w:rPr>
              <w:t>Adj. Diluted EPS (FY 2026)</w:t>
            </w:r>
          </w:p>
        </w:tc>
        <w:tc>
          <w:tcPr>
            <w:tcW w:type="dxa" w:w="1728"/>
          </w:tcPr>
          <w:p>
            <w:r>
              <w:rPr>
                <w:rFonts w:ascii="Calibri" w:hAnsi="Calibri"/>
                <w:sz w:val="22"/>
              </w:rPr>
              <w:t>Unchanged (prior range maintained)</w:t>
            </w:r>
          </w:p>
        </w:tc>
        <w:tc>
          <w:tcPr>
            <w:tcW w:type="dxa" w:w="1728"/>
          </w:tcPr>
          <w:p>
            <w:r>
              <w:rPr>
                <w:rFonts w:ascii="Calibri" w:hAnsi="Calibri"/>
                <w:sz w:val="22"/>
              </w:rPr>
              <w:t>—</w:t>
            </w:r>
          </w:p>
        </w:tc>
        <w:tc>
          <w:tcPr>
            <w:tcW w:type="dxa" w:w="1728"/>
          </w:tcPr>
          <w:p>
            <w:r>
              <w:rPr>
                <w:rFonts w:ascii="Calibri" w:hAnsi="Calibri"/>
                <w:sz w:val="22"/>
              </w:rPr>
              <w:t>~$16.78</w:t>
            </w:r>
          </w:p>
        </w:tc>
        <w:tc>
          <w:tcPr>
            <w:tcW w:type="dxa" w:w="1728"/>
          </w:tcPr>
          <w:p>
            <w:r>
              <w:rPr>
                <w:rFonts w:ascii="Calibri" w:hAnsi="Calibri"/>
                <w:sz w:val="22"/>
              </w:rPr>
              <w:t>Unchanged; downside scenario (mid-SD MIS growth) would push toward low end</w:t>
            </w:r>
          </w:p>
        </w:tc>
      </w:tr>
      <w:tr>
        <w:tc>
          <w:tcPr>
            <w:tcW w:type="dxa" w:w="1728"/>
          </w:tcPr>
          <w:p>
            <w:r>
              <w:rPr>
                <w:rFonts w:ascii="Calibri" w:hAnsi="Calibri"/>
                <w:sz w:val="22"/>
              </w:rPr>
              <w:t>MA Adj. Operating Margin (FY 2026)</w:t>
            </w:r>
          </w:p>
        </w:tc>
        <w:tc>
          <w:tcPr>
            <w:tcW w:type="dxa" w:w="1728"/>
          </w:tcPr>
          <w:p>
            <w:r>
              <w:rPr>
                <w:rFonts w:ascii="Calibri" w:hAnsi="Calibri"/>
                <w:sz w:val="22"/>
              </w:rPr>
              <w:t>34%–35% (raised from prior target at Q1 print)</w:t>
            </w:r>
          </w:p>
        </w:tc>
        <w:tc>
          <w:tcPr>
            <w:tcW w:type="dxa" w:w="1728"/>
          </w:tcPr>
          <w:p>
            <w:r>
              <w:rPr>
                <w:rFonts w:ascii="Calibri" w:hAnsi="Calibri"/>
                <w:sz w:val="22"/>
              </w:rPr>
              <w:t>—</w:t>
            </w:r>
          </w:p>
        </w:tc>
        <w:tc>
          <w:tcPr>
            <w:tcW w:type="dxa" w:w="1728"/>
          </w:tcPr>
          <w:p>
            <w:r>
              <w:rPr>
                <w:rFonts w:ascii="Calibri" w:hAnsi="Calibri"/>
                <w:sz w:val="22"/>
              </w:rPr>
              <w:t>~34%–35%</w:t>
            </w:r>
          </w:p>
        </w:tc>
        <w:tc>
          <w:tcPr>
            <w:tcW w:type="dxa" w:w="1728"/>
          </w:tcPr>
          <w:p>
            <w:r>
              <w:rPr>
                <w:rFonts w:ascii="Calibri" w:hAnsi="Calibri"/>
                <w:sz w:val="22"/>
              </w:rPr>
              <w:t>Raised at Q1 earnings; medium-term target mid-to-high 30s by end of 2027</w:t>
            </w:r>
          </w:p>
        </w:tc>
      </w:tr>
      <w:tr>
        <w:tc>
          <w:tcPr>
            <w:tcW w:type="dxa" w:w="1728"/>
          </w:tcPr>
          <w:p>
            <w:r>
              <w:rPr>
                <w:rFonts w:ascii="Calibri" w:hAnsi="Calibri"/>
                <w:sz w:val="22"/>
              </w:rPr>
              <w:t>MCO Adj. Operating Margin (FY 2026)</w:t>
            </w:r>
          </w:p>
        </w:tc>
        <w:tc>
          <w:tcPr>
            <w:tcW w:type="dxa" w:w="1728"/>
          </w:tcPr>
          <w:p>
            <w:r>
              <w:rPr>
                <w:rFonts w:ascii="Calibri" w:hAnsi="Calibri"/>
                <w:sz w:val="22"/>
              </w:rPr>
              <w:t>Above midpoint of FY range in Q2 &amp; Q3; tick down in Q4</w:t>
            </w:r>
          </w:p>
        </w:tc>
        <w:tc>
          <w:tcPr>
            <w:tcW w:type="dxa" w:w="1728"/>
          </w:tcPr>
          <w:p>
            <w:r>
              <w:rPr>
                <w:rFonts w:ascii="Calibri" w:hAnsi="Calibri"/>
                <w:sz w:val="22"/>
              </w:rPr>
              <w:t>—</w:t>
            </w:r>
          </w:p>
        </w:tc>
        <w:tc>
          <w:tcPr>
            <w:tcW w:type="dxa" w:w="1728"/>
          </w:tcPr>
          <w:p>
            <w:r>
              <w:rPr>
                <w:rFonts w:ascii="Calibri" w:hAnsi="Calibri"/>
                <w:sz w:val="22"/>
              </w:rPr>
              <w:t>~53%+ for Q2</w:t>
            </w:r>
          </w:p>
        </w:tc>
        <w:tc>
          <w:tcPr>
            <w:tcW w:type="dxa" w:w="1728"/>
          </w:tcPr>
          <w:p>
            <w:r>
              <w:rPr>
                <w:rFonts w:ascii="Calibri" w:hAnsi="Calibri"/>
                <w:sz w:val="22"/>
              </w:rPr>
              <w:t>Unchanged; Q1 came in at 53.2% (+150bps YoY)</w:t>
            </w:r>
          </w:p>
        </w:tc>
      </w:tr>
      <w:tr>
        <w:tc>
          <w:tcPr>
            <w:tcW w:type="dxa" w:w="1728"/>
          </w:tcPr>
          <w:p>
            <w:r>
              <w:rPr>
                <w:rFonts w:ascii="Calibri" w:hAnsi="Calibri"/>
                <w:sz w:val="22"/>
              </w:rPr>
              <w:t>Share Buybacks (FY 2026)</w:t>
            </w:r>
          </w:p>
        </w:tc>
        <w:tc>
          <w:tcPr>
            <w:tcW w:type="dxa" w:w="1728"/>
          </w:tcPr>
          <w:p>
            <w:r>
              <w:rPr>
                <w:rFonts w:ascii="Calibri" w:hAnsi="Calibri"/>
                <w:sz w:val="22"/>
              </w:rPr>
              <w:t>~$2.5B (raised +$500M at Q1 earnings)</w:t>
            </w:r>
          </w:p>
        </w:tc>
        <w:tc>
          <w:tcPr>
            <w:tcW w:type="dxa" w:w="1728"/>
          </w:tcPr>
          <w:p>
            <w:r>
              <w:rPr>
                <w:rFonts w:ascii="Calibri" w:hAnsi="Calibri"/>
                <w:sz w:val="22"/>
              </w:rPr>
              <w:t>—</w:t>
            </w:r>
          </w:p>
        </w:tc>
        <w:tc>
          <w:tcPr>
            <w:tcW w:type="dxa" w:w="1728"/>
          </w:tcPr>
          <w:p>
            <w:r>
              <w:rPr>
                <w:rFonts w:ascii="Calibri" w:hAnsi="Calibri"/>
                <w:sz w:val="22"/>
              </w:rPr>
              <w:t>~$2.5B</w:t>
            </w:r>
          </w:p>
        </w:tc>
        <w:tc>
          <w:tcPr>
            <w:tcW w:type="dxa" w:w="1728"/>
          </w:tcPr>
          <w:p>
            <w:r>
              <w:rPr>
                <w:rFonts w:ascii="Calibri" w:hAnsi="Calibri"/>
                <w:sz w:val="22"/>
              </w:rPr>
              <w:t>↑ Raised at Q1 earnings Apr 22; ~$1.5B executed in Q1 alone</w:t>
            </w:r>
          </w:p>
        </w:tc>
      </w:tr>
      <w:tr>
        <w:tc>
          <w:tcPr>
            <w:tcW w:type="dxa" w:w="1728"/>
          </w:tcPr>
          <w:p>
            <w:r>
              <w:rPr>
                <w:rFonts w:ascii="Calibri" w:hAnsi="Calibri"/>
                <w:sz w:val="22"/>
              </w:rPr>
              <w:t>Free Cash Flow (FY 2026)</w:t>
            </w:r>
          </w:p>
        </w:tc>
        <w:tc>
          <w:tcPr>
            <w:tcW w:type="dxa" w:w="1728"/>
          </w:tcPr>
          <w:p>
            <w:r>
              <w:rPr>
                <w:rFonts w:ascii="Calibri" w:hAnsi="Calibri"/>
                <w:sz w:val="22"/>
              </w:rPr>
              <w:t>~$2.8–$3.0B; ~110% returned to shareholders</w:t>
            </w:r>
          </w:p>
        </w:tc>
        <w:tc>
          <w:tcPr>
            <w:tcW w:type="dxa" w:w="1728"/>
          </w:tcPr>
          <w:p>
            <w:r>
              <w:rPr>
                <w:rFonts w:ascii="Calibri" w:hAnsi="Calibri"/>
                <w:sz w:val="22"/>
              </w:rPr>
              <w:t>—</w:t>
            </w:r>
          </w:p>
        </w:tc>
        <w:tc>
          <w:tcPr>
            <w:tcW w:type="dxa" w:w="1728"/>
          </w:tcPr>
          <w:p>
            <w:r>
              <w:rPr>
                <w:rFonts w:ascii="Calibri" w:hAnsi="Calibri"/>
                <w:sz w:val="22"/>
              </w:rPr>
              <w:t>~$2.97B</w:t>
            </w:r>
          </w:p>
        </w:tc>
        <w:tc>
          <w:tcPr>
            <w:tcW w:type="dxa" w:w="1728"/>
          </w:tcPr>
          <w:p>
            <w:r>
              <w:rPr>
                <w:rFonts w:ascii="Calibri" w:hAnsi="Calibri"/>
                <w:sz w:val="22"/>
              </w:rPr>
              <w:t>Unchanged; on track per management</w:t>
            </w:r>
          </w:p>
        </w:tc>
      </w:tr>
    </w:tbl>
    <w:p>
      <w:r>
        <w:rPr>
          <w:rFonts w:ascii="Calibri" w:hAnsi="Calibri"/>
          <w:i/>
          <w:color w:val="525866"/>
          <w:sz w:val="22"/>
        </w:rPr>
        <w:t>Source: MCO Q1 2026 Earnings Call transcript (April 22, 2026); Visible Alpha consensus data.</w:t>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remarkably stable since the Q1 print — both Q2 2026 and FY 2026 EPS and revenue consensus have moved only modestly higher, suggesting the Street has accepted management's guidance framework; the </w:t>
      </w:r>
      <w:r>
        <w:rPr>
          <w:rFonts w:ascii="Calibri" w:hAnsi="Calibri"/>
          <w:b/>
          <w:color w:val="525866"/>
          <w:sz w:val="22"/>
        </w:rPr>
        <w:t>slight upward drift in EPS estimates</w:t>
      </w:r>
      <w:r>
        <w:rPr>
          <w:rFonts w:ascii="Calibri" w:hAnsi="Calibri"/>
          <w:color w:val="525866"/>
          <w:sz w:val="22"/>
        </w:rPr>
        <w:t xml:space="preserve"> (+1.7% for Q2, +0.5% for FY) represents a small cushion rather than a stretched bar.</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&amp; Period</w:t>
            </w:r>
          </w:p>
        </w:tc>
        <w:tc>
          <w:tcPr>
            <w:tcW w:type="dxa" w:w="1080"/>
            <w:shd w:val="clear" w:color="auto" w:fill="3B4259"/>
          </w:tcPr>
          <w:p>
            <w:r>
              <w:rPr>
                <w:rFonts w:ascii="Calibri" w:hAnsi="Calibri"/>
                <w:b/>
                <w:color w:val="FFFFFF"/>
                <w:sz w:val="22"/>
              </w:rPr>
              <w:t>Estimate (Apr 29, 2026 — 5 days post Q1 print)</w:t>
            </w:r>
          </w:p>
        </w:tc>
        <w:tc>
          <w:tcPr>
            <w:tcW w:type="dxa" w:w="1080"/>
            <w:shd w:val="clear" w:color="auto" w:fill="3B4259"/>
          </w:tcPr>
          <w:p>
            <w:r>
              <w:rPr>
                <w:rFonts w:ascii="Calibri" w:hAnsi="Calibri"/>
                <w:b/>
                <w:color w:val="FFFFFF"/>
                <w:sz w:val="22"/>
              </w:rPr>
              <w:t>Current Consensus (Jul 21,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Earnings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Adj. EPS — Q2 2026</w:t>
            </w:r>
          </w:p>
        </w:tc>
        <w:tc>
          <w:tcPr>
            <w:tcW w:type="dxa" w:w="1080"/>
          </w:tcPr>
          <w:p>
            <w:r>
              <w:rPr>
                <w:rFonts w:ascii="Calibri" w:hAnsi="Calibri"/>
                <w:sz w:val="22"/>
              </w:rPr>
              <w:t>$4.17</w:t>
            </w:r>
          </w:p>
        </w:tc>
        <w:tc>
          <w:tcPr>
            <w:tcW w:type="dxa" w:w="1080"/>
          </w:tcPr>
          <w:p>
            <w:r>
              <w:rPr>
                <w:rFonts w:ascii="Calibri" w:hAnsi="Calibri"/>
                <w:sz w:val="22"/>
              </w:rPr>
              <w:t>$4.25</w:t>
            </w:r>
          </w:p>
        </w:tc>
        <w:tc>
          <w:tcPr>
            <w:tcW w:type="dxa" w:w="1080"/>
          </w:tcPr>
          <w:p>
            <w:r>
              <w:rPr>
                <w:rFonts w:ascii="Calibri" w:hAnsi="Calibri"/>
                <w:b/>
                <w:color w:val="30A46C"/>
                <w:sz w:val="22"/>
              </w:rPr>
              <w:t>+1.9%</w:t>
            </w:r>
          </w:p>
        </w:tc>
        <w:tc>
          <w:tcPr>
            <w:tcW w:type="dxa" w:w="1080"/>
          </w:tcPr>
          <w:p>
            <w:r>
              <w:rPr>
                <w:rFonts w:ascii="Calibri" w:hAnsi="Calibri"/>
                <w:sz w:val="22"/>
              </w:rPr>
              <w:t>$4.15–$4.30</w:t>
            </w:r>
          </w:p>
        </w:tc>
        <w:tc>
          <w:tcPr>
            <w:tcW w:type="dxa" w:w="1080"/>
          </w:tcPr>
          <w:p>
            <w:r>
              <w:rPr>
                <w:rFonts w:ascii="Calibri" w:hAnsi="Calibri"/>
                <w:sz w:val="22"/>
              </w:rPr>
              <w:t>$4.15–$4.30 (unchanged)</w:t>
            </w:r>
          </w:p>
        </w:tc>
        <w:tc>
          <w:tcPr>
            <w:tcW w:type="dxa" w:w="1080"/>
          </w:tcPr>
          <w:p>
            <w:r>
              <w:rPr>
                <w:rFonts w:ascii="Calibri" w:hAnsi="Calibri"/>
                <w:sz w:val="22"/>
              </w:rPr>
              <w:t>Unchanged</w:t>
            </w:r>
          </w:p>
        </w:tc>
        <w:tc>
          <w:tcPr>
            <w:tcW w:type="dxa" w:w="1080"/>
          </w:tcPr>
          <w:p>
            <w:r>
              <w:rPr>
                <w:rFonts w:ascii="Calibri" w:hAnsi="Calibri"/>
                <w:sz w:val="22"/>
              </w:rPr>
              <w:t>+0.5% vs. midpoint ($4.225)</w:t>
            </w:r>
          </w:p>
        </w:tc>
      </w:tr>
      <w:tr>
        <w:tc>
          <w:tcPr>
            <w:tcW w:type="dxa" w:w="1080"/>
          </w:tcPr>
          <w:p>
            <w:r>
              <w:rPr>
                <w:rFonts w:ascii="Calibri" w:hAnsi="Calibri"/>
                <w:sz w:val="22"/>
              </w:rPr>
              <w:t>Adj. EPS — FY 2026</w:t>
            </w:r>
          </w:p>
        </w:tc>
        <w:tc>
          <w:tcPr>
            <w:tcW w:type="dxa" w:w="1080"/>
          </w:tcPr>
          <w:p>
            <w:r>
              <w:rPr>
                <w:rFonts w:ascii="Calibri" w:hAnsi="Calibri"/>
                <w:sz w:val="22"/>
              </w:rPr>
              <w:t>$16.70</w:t>
            </w:r>
          </w:p>
        </w:tc>
        <w:tc>
          <w:tcPr>
            <w:tcW w:type="dxa" w:w="1080"/>
          </w:tcPr>
          <w:p>
            <w:r>
              <w:rPr>
                <w:rFonts w:ascii="Calibri" w:hAnsi="Calibri"/>
                <w:sz w:val="22"/>
              </w:rPr>
              <w:t>$16.78</w:t>
            </w:r>
          </w:p>
        </w:tc>
        <w:tc>
          <w:tcPr>
            <w:tcW w:type="dxa" w:w="1080"/>
          </w:tcPr>
          <w:p>
            <w:r>
              <w:rPr>
                <w:rFonts w:ascii="Calibri" w:hAnsi="Calibri"/>
                <w:b/>
                <w:color w:val="30A46C"/>
                <w:sz w:val="22"/>
              </w:rPr>
              <w:t>+0.5%</w:t>
            </w:r>
          </w:p>
        </w:tc>
        <w:tc>
          <w:tcPr>
            <w:tcW w:type="dxa" w:w="1080"/>
          </w:tcPr>
          <w:p>
            <w:r>
              <w:rPr>
                <w:rFonts w:ascii="Calibri" w:hAnsi="Calibri"/>
                <w:sz w:val="22"/>
              </w:rPr>
              <w:t>Unchanged (prior range)</w:t>
            </w:r>
          </w:p>
        </w:tc>
        <w:tc>
          <w:tcPr>
            <w:tcW w:type="dxa" w:w="1080"/>
          </w:tcPr>
          <w:p>
            <w:r>
              <w:rPr>
                <w:rFonts w:ascii="Calibri" w:hAnsi="Calibri"/>
                <w:sz w:val="22"/>
              </w:rPr>
              <w:t>Unchanged</w:t>
            </w:r>
          </w:p>
        </w:tc>
        <w:tc>
          <w:tcPr>
            <w:tcW w:type="dxa" w:w="1080"/>
          </w:tcPr>
          <w:p>
            <w:r>
              <w:rPr>
                <w:rFonts w:ascii="Calibri" w:hAnsi="Calibri"/>
                <w:sz w:val="22"/>
              </w:rPr>
              <w:t>Unchanged</w:t>
            </w:r>
          </w:p>
        </w:tc>
        <w:tc>
          <w:tcPr>
            <w:tcW w:type="dxa" w:w="1080"/>
          </w:tcPr>
          <w:p>
            <w:r>
              <w:rPr>
                <w:rFonts w:ascii="Calibri" w:hAnsi="Calibri"/>
                <w:sz w:val="22"/>
              </w:rPr>
              <w:t>In line with guidance</w:t>
            </w:r>
          </w:p>
        </w:tc>
      </w:tr>
      <w:tr>
        <w:tc>
          <w:tcPr>
            <w:tcW w:type="dxa" w:w="1080"/>
          </w:tcPr>
          <w:p>
            <w:r>
              <w:rPr>
                <w:rFonts w:ascii="Calibri" w:hAnsi="Calibri"/>
                <w:sz w:val="22"/>
              </w:rPr>
              <w:t>MIS Revenue — Q2 2026</w:t>
            </w:r>
          </w:p>
        </w:tc>
        <w:tc>
          <w:tcPr>
            <w:tcW w:type="dxa" w:w="1080"/>
          </w:tcPr>
          <w:p>
            <w:r>
              <w:rPr>
                <w:rFonts w:ascii="Calibri" w:hAnsi="Calibri"/>
                <w:sz w:val="22"/>
              </w:rPr>
              <w:t>$1,183M</w:t>
            </w:r>
          </w:p>
        </w:tc>
        <w:tc>
          <w:tcPr>
            <w:tcW w:type="dxa" w:w="1080"/>
          </w:tcPr>
          <w:p>
            <w:r>
              <w:rPr>
                <w:rFonts w:ascii="Calibri" w:hAnsi="Calibri"/>
                <w:sz w:val="22"/>
              </w:rPr>
              <w:t>$1,201M</w:t>
            </w:r>
          </w:p>
        </w:tc>
        <w:tc>
          <w:tcPr>
            <w:tcW w:type="dxa" w:w="1080"/>
          </w:tcPr>
          <w:p>
            <w:r>
              <w:rPr>
                <w:rFonts w:ascii="Calibri" w:hAnsi="Calibri"/>
                <w:b/>
                <w:color w:val="30A46C"/>
                <w:sz w:val="22"/>
              </w:rPr>
              <w:t>+1.5%</w:t>
            </w:r>
          </w:p>
        </w:tc>
        <w:tc>
          <w:tcPr>
            <w:tcW w:type="dxa" w:w="1080"/>
          </w:tcPr>
          <w:p>
            <w:r>
              <w:rPr>
                <w:rFonts w:ascii="Calibri" w:hAnsi="Calibri"/>
                <w:sz w:val="22"/>
              </w:rPr>
              <w:t>Low to mid-teens growth</w:t>
            </w:r>
          </w:p>
        </w:tc>
        <w:tc>
          <w:tcPr>
            <w:tcW w:type="dxa" w:w="1080"/>
          </w:tcPr>
          <w:p>
            <w:r>
              <w:rPr>
                <w:rFonts w:ascii="Calibri" w:hAnsi="Calibri"/>
                <w:sz w:val="22"/>
              </w:rPr>
              <w:t>Unchanged</w:t>
            </w:r>
          </w:p>
        </w:tc>
        <w:tc>
          <w:tcPr>
            <w:tcW w:type="dxa" w:w="1080"/>
          </w:tcPr>
          <w:p>
            <w:r>
              <w:rPr>
                <w:rFonts w:ascii="Calibri" w:hAnsi="Calibri"/>
                <w:sz w:val="22"/>
              </w:rPr>
              <w:t>Unchanged</w:t>
            </w:r>
          </w:p>
        </w:tc>
        <w:tc>
          <w:tcPr>
            <w:tcW w:type="dxa" w:w="1080"/>
          </w:tcPr>
          <w:p>
            <w:r>
              <w:rPr>
                <w:rFonts w:ascii="Calibri" w:hAnsi="Calibri"/>
                <w:sz w:val="22"/>
              </w:rPr>
              <w:t>~+13% YoY; at low end of guided range</w:t>
            </w:r>
          </w:p>
        </w:tc>
      </w:tr>
      <w:tr>
        <w:tc>
          <w:tcPr>
            <w:tcW w:type="dxa" w:w="1080"/>
          </w:tcPr>
          <w:p>
            <w:r>
              <w:rPr>
                <w:rFonts w:ascii="Calibri" w:hAnsi="Calibri"/>
                <w:sz w:val="22"/>
              </w:rPr>
              <w:t>MIS Revenue — FY 2026</w:t>
            </w:r>
          </w:p>
        </w:tc>
        <w:tc>
          <w:tcPr>
            <w:tcW w:type="dxa" w:w="1080"/>
          </w:tcPr>
          <w:p>
            <w:r>
              <w:rPr>
                <w:rFonts w:ascii="Calibri" w:hAnsi="Calibri"/>
                <w:sz w:val="22"/>
              </w:rPr>
              <w:t>$4,640M</w:t>
            </w:r>
          </w:p>
        </w:tc>
        <w:tc>
          <w:tcPr>
            <w:tcW w:type="dxa" w:w="1080"/>
          </w:tcPr>
          <w:p>
            <w:r>
              <w:rPr>
                <w:rFonts w:ascii="Calibri" w:hAnsi="Calibri"/>
                <w:sz w:val="22"/>
              </w:rPr>
              <w:t>$4,661M</w:t>
            </w:r>
          </w:p>
        </w:tc>
        <w:tc>
          <w:tcPr>
            <w:tcW w:type="dxa" w:w="1080"/>
          </w:tcPr>
          <w:p>
            <w:r>
              <w:rPr>
                <w:rFonts w:ascii="Calibri" w:hAnsi="Calibri"/>
                <w:b/>
                <w:color w:val="30A46C"/>
                <w:sz w:val="22"/>
              </w:rPr>
              <w:t>+0.5%</w:t>
            </w:r>
          </w:p>
        </w:tc>
        <w:tc>
          <w:tcPr>
            <w:tcW w:type="dxa" w:w="1080"/>
          </w:tcPr>
          <w:p>
            <w:r>
              <w:rPr>
                <w:rFonts w:ascii="Calibri" w:hAnsi="Calibri"/>
                <w:sz w:val="22"/>
              </w:rPr>
              <w:t>High single-digit % growth</w:t>
            </w:r>
          </w:p>
        </w:tc>
        <w:tc>
          <w:tcPr>
            <w:tcW w:type="dxa" w:w="1080"/>
          </w:tcPr>
          <w:p>
            <w:r>
              <w:rPr>
                <w:rFonts w:ascii="Calibri" w:hAnsi="Calibri"/>
                <w:sz w:val="22"/>
              </w:rPr>
              <w:t>Unchanged</w:t>
            </w:r>
          </w:p>
        </w:tc>
        <w:tc>
          <w:tcPr>
            <w:tcW w:type="dxa" w:w="1080"/>
          </w:tcPr>
          <w:p>
            <w:r>
              <w:rPr>
                <w:rFonts w:ascii="Calibri" w:hAnsi="Calibri"/>
                <w:sz w:val="22"/>
              </w:rPr>
              <w:t>Unchanged</w:t>
            </w:r>
          </w:p>
        </w:tc>
        <w:tc>
          <w:tcPr>
            <w:tcW w:type="dxa" w:w="1080"/>
          </w:tcPr>
          <w:p>
            <w:r>
              <w:rPr>
                <w:rFonts w:ascii="Calibri" w:hAnsi="Calibri"/>
                <w:sz w:val="22"/>
              </w:rPr>
              <w:t>In line</w:t>
            </w:r>
          </w:p>
        </w:tc>
      </w:tr>
      <w:tr>
        <w:tc>
          <w:tcPr>
            <w:tcW w:type="dxa" w:w="1080"/>
          </w:tcPr>
          <w:p>
            <w:r>
              <w:rPr>
                <w:rFonts w:ascii="Calibri" w:hAnsi="Calibri"/>
                <w:sz w:val="22"/>
              </w:rPr>
              <w:t>MA Revenue — Q2 2026</w:t>
            </w:r>
          </w:p>
        </w:tc>
        <w:tc>
          <w:tcPr>
            <w:tcW w:type="dxa" w:w="1080"/>
          </w:tcPr>
          <w:p>
            <w:r>
              <w:rPr>
                <w:rFonts w:ascii="Calibri" w:hAnsi="Calibri"/>
                <w:sz w:val="22"/>
              </w:rPr>
              <w:t>$930M</w:t>
            </w:r>
          </w:p>
        </w:tc>
        <w:tc>
          <w:tcPr>
            <w:tcW w:type="dxa" w:w="1080"/>
          </w:tcPr>
          <w:p>
            <w:r>
              <w:rPr>
                <w:rFonts w:ascii="Calibri" w:hAnsi="Calibri"/>
                <w:sz w:val="22"/>
              </w:rPr>
              <w:t>$933M</w:t>
            </w:r>
          </w:p>
        </w:tc>
        <w:tc>
          <w:tcPr>
            <w:tcW w:type="dxa" w:w="1080"/>
          </w:tcPr>
          <w:p>
            <w:r>
              <w:rPr>
                <w:rFonts w:ascii="Calibri" w:hAnsi="Calibri"/>
                <w:sz w:val="22"/>
              </w:rPr>
              <w:t>+0.3%</w:t>
            </w:r>
          </w:p>
        </w:tc>
        <w:tc>
          <w:tcPr>
            <w:tcW w:type="dxa" w:w="1080"/>
          </w:tcPr>
          <w:p>
            <w:r>
              <w:rPr>
                <w:rFonts w:ascii="Calibri" w:hAnsi="Calibri"/>
                <w:sz w:val="22"/>
              </w:rPr>
              <w:t>Mid-single-digit % (lower end, ex-RAS)</w:t>
            </w:r>
          </w:p>
        </w:tc>
        <w:tc>
          <w:tcPr>
            <w:tcW w:type="dxa" w:w="1080"/>
          </w:tcPr>
          <w:p>
            <w:r>
              <w:rPr>
                <w:rFonts w:ascii="Calibri" w:hAnsi="Calibri"/>
                <w:sz w:val="22"/>
              </w:rPr>
              <w:t>Unchanged</w:t>
            </w:r>
          </w:p>
        </w:tc>
        <w:tc>
          <w:tcPr>
            <w:tcW w:type="dxa" w:w="1080"/>
          </w:tcPr>
          <w:p>
            <w:r>
              <w:rPr>
                <w:rFonts w:ascii="Calibri" w:hAnsi="Calibri"/>
                <w:sz w:val="22"/>
              </w:rPr>
              <w:t>Unchanged</w:t>
            </w:r>
          </w:p>
        </w:tc>
        <w:tc>
          <w:tcPr>
            <w:tcW w:type="dxa" w:w="1080"/>
          </w:tcPr>
          <w:p>
            <w:r>
              <w:rPr>
                <w:rFonts w:ascii="Calibri" w:hAnsi="Calibri"/>
                <w:sz w:val="22"/>
              </w:rPr>
              <w:t>In line</w:t>
            </w:r>
          </w:p>
        </w:tc>
      </w:tr>
      <w:tr>
        <w:tc>
          <w:tcPr>
            <w:tcW w:type="dxa" w:w="1080"/>
          </w:tcPr>
          <w:p>
            <w:r>
              <w:rPr>
                <w:rFonts w:ascii="Calibri" w:hAnsi="Calibri"/>
                <w:sz w:val="22"/>
              </w:rPr>
              <w:t>MA Revenue — FY 2026</w:t>
            </w:r>
          </w:p>
        </w:tc>
        <w:tc>
          <w:tcPr>
            <w:tcW w:type="dxa" w:w="1080"/>
          </w:tcPr>
          <w:p>
            <w:r>
              <w:rPr>
                <w:rFonts w:ascii="Calibri" w:hAnsi="Calibri"/>
                <w:sz w:val="22"/>
              </w:rPr>
              <w:t>$3,796M</w:t>
            </w:r>
          </w:p>
        </w:tc>
        <w:tc>
          <w:tcPr>
            <w:tcW w:type="dxa" w:w="1080"/>
          </w:tcPr>
          <w:p>
            <w:r>
              <w:rPr>
                <w:rFonts w:ascii="Calibri" w:hAnsi="Calibri"/>
                <w:sz w:val="22"/>
              </w:rPr>
              <w:t>$3,791M</w:t>
            </w:r>
          </w:p>
        </w:tc>
        <w:tc>
          <w:tcPr>
            <w:tcW w:type="dxa" w:w="1080"/>
          </w:tcPr>
          <w:p>
            <w:r>
              <w:rPr>
                <w:rFonts w:ascii="Calibri" w:hAnsi="Calibri"/>
                <w:sz w:val="22"/>
              </w:rPr>
              <w:t>-0.1%</w:t>
            </w:r>
          </w:p>
        </w:tc>
        <w:tc>
          <w:tcPr>
            <w:tcW w:type="dxa" w:w="1080"/>
          </w:tcPr>
          <w:p>
            <w:r>
              <w:rPr>
                <w:rFonts w:ascii="Calibri" w:hAnsi="Calibri"/>
                <w:sz w:val="22"/>
              </w:rPr>
              <w:t>Mid-single-digit % (lower end, ex-RAS)</w:t>
            </w:r>
          </w:p>
        </w:tc>
        <w:tc>
          <w:tcPr>
            <w:tcW w:type="dxa" w:w="1080"/>
          </w:tcPr>
          <w:p>
            <w:r>
              <w:rPr>
                <w:rFonts w:ascii="Calibri" w:hAnsi="Calibri"/>
                <w:sz w:val="22"/>
              </w:rPr>
              <w:t>Unchanged</w:t>
            </w:r>
          </w:p>
        </w:tc>
        <w:tc>
          <w:tcPr>
            <w:tcW w:type="dxa" w:w="1080"/>
          </w:tcPr>
          <w:p>
            <w:r>
              <w:rPr>
                <w:rFonts w:ascii="Calibri" w:hAnsi="Calibri"/>
                <w:sz w:val="22"/>
              </w:rPr>
              <w:t>Unchanged</w:t>
            </w:r>
          </w:p>
        </w:tc>
        <w:tc>
          <w:tcPr>
            <w:tcW w:type="dxa" w:w="1080"/>
          </w:tcPr>
          <w:p>
            <w:r>
              <w:rPr>
                <w:rFonts w:ascii="Calibri" w:hAnsi="Calibri"/>
                <w:sz w:val="22"/>
              </w:rPr>
              <w:t>In line</w:t>
            </w:r>
          </w:p>
        </w:tc>
      </w:tr>
      <w:tr>
        <w:tc>
          <w:tcPr>
            <w:tcW w:type="dxa" w:w="1080"/>
          </w:tcPr>
          <w:p>
            <w:r>
              <w:rPr>
                <w:rFonts w:ascii="Calibri" w:hAnsi="Calibri"/>
                <w:sz w:val="22"/>
              </w:rPr>
              <w:t>Total ARR — FY 2026</w:t>
            </w:r>
          </w:p>
        </w:tc>
        <w:tc>
          <w:tcPr>
            <w:tcW w:type="dxa" w:w="1080"/>
          </w:tcPr>
          <w:p>
            <w:r>
              <w:rPr>
                <w:rFonts w:ascii="Calibri" w:hAnsi="Calibri"/>
                <w:sz w:val="22"/>
              </w:rPr>
              <w:t>$3,562M</w:t>
            </w:r>
          </w:p>
        </w:tc>
        <w:tc>
          <w:tcPr>
            <w:tcW w:type="dxa" w:w="1080"/>
          </w:tcPr>
          <w:p>
            <w:r>
              <w:rPr>
                <w:rFonts w:ascii="Calibri" w:hAnsi="Calibri"/>
                <w:sz w:val="22"/>
              </w:rPr>
              <w:t>$3,811M</w:t>
            </w:r>
          </w:p>
        </w:tc>
        <w:tc>
          <w:tcPr>
            <w:tcW w:type="dxa" w:w="1080"/>
          </w:tcPr>
          <w:p>
            <w:r>
              <w:rPr>
                <w:rFonts w:ascii="Calibri" w:hAnsi="Calibri"/>
                <w:b/>
                <w:color w:val="30A46C"/>
                <w:sz w:val="22"/>
              </w:rPr>
              <w:t>+7.0%</w:t>
            </w:r>
          </w:p>
        </w:tc>
        <w:tc>
          <w:tcPr>
            <w:tcW w:type="dxa" w:w="1080"/>
          </w:tcPr>
          <w:p>
            <w:r>
              <w:rPr>
                <w:rFonts w:ascii="Calibri" w:hAnsi="Calibri"/>
                <w:sz w:val="22"/>
              </w:rPr>
              <w:t>High single-digit % growth</w:t>
            </w:r>
          </w:p>
        </w:tc>
        <w:tc>
          <w:tcPr>
            <w:tcW w:type="dxa" w:w="1080"/>
          </w:tcPr>
          <w:p>
            <w:r>
              <w:rPr>
                <w:rFonts w:ascii="Calibri" w:hAnsi="Calibri"/>
                <w:sz w:val="22"/>
              </w:rPr>
              <w:t>Unchanged</w:t>
            </w:r>
          </w:p>
        </w:tc>
        <w:tc>
          <w:tcPr>
            <w:tcW w:type="dxa" w:w="1080"/>
          </w:tcPr>
          <w:p>
            <w:r>
              <w:rPr>
                <w:rFonts w:ascii="Calibri" w:hAnsi="Calibri"/>
                <w:sz w:val="22"/>
              </w:rPr>
              <w:t>Unchanged</w:t>
            </w:r>
          </w:p>
        </w:tc>
        <w:tc>
          <w:tcPr>
            <w:tcW w:type="dxa" w:w="1080"/>
          </w:tcPr>
          <w:p>
            <w:r>
              <w:rPr>
                <w:rFonts w:ascii="Calibri" w:hAnsi="Calibri"/>
                <w:sz w:val="22"/>
              </w:rPr>
              <w:t>In line with high single-digit target</w:t>
            </w:r>
          </w:p>
        </w:tc>
      </w:tr>
    </w:tbl>
    <w:p>
      <w:r>
        <w:rPr>
          <w:rFonts w:ascii="Calibri" w:hAnsi="Calibri"/>
          <w:i/>
          <w:color w:val="525866"/>
          <w:sz w:val="22"/>
        </w:rPr>
        <w:t>Estimates have tracked guidance closely since the Q1 print, with no material divergence in either direction. The modest upward drift in EPS (+1.9% for Q2, +0.5% for FY) reflects the market's incremental confidence in the issuance recovery narrative and MA margin expansion, rather than any fundamental re-rating of the business.</w:t>
      </w:r>
    </w:p>
    <w:p>
      <w:r>
        <w:rPr>
          <w:rFonts w:ascii="Calibri" w:hAnsi="Calibri"/>
          <w:i/>
          <w:color w:val="525866"/>
          <w:sz w:val="22"/>
        </w:rPr>
        <w:t>Source: Visible Alpha consensus data; as-of date April 29, 2026 (5 trading days post Q1 earnings) and July 21, 2026 (current). MCO Q1 2026 Earnings Call (April 22, 2026).</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MCO has outperformed both SPGI and the S&amp;P 500 since the Q1 earnings date, up ~5.2% vs. SPGI down ~4.0% and SPY up ~5.2% — the stock's performance has been driven by </w:t>
      </w:r>
      <w:r>
        <w:rPr>
          <w:rFonts w:ascii="Calibri" w:hAnsi="Calibri"/>
          <w:b/>
          <w:color w:val="525866"/>
          <w:sz w:val="22"/>
        </w:rPr>
        <w:t>multiple expansion and positive estimate revisions</w:t>
      </w:r>
      <w:r>
        <w:rPr>
          <w:rFonts w:ascii="Calibri" w:hAnsi="Calibri"/>
          <w:color w:val="525866"/>
          <w:sz w:val="22"/>
        </w:rPr>
        <w:t>, with a notable acceleration in early July suggesting the market is pricing in a constructive Q2 print ahead of tomorrow's release.</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MCO vs. SPGI vs. S&amp;P 500 (SPY) — Indexed to 100 at April 22, 2026 (Q1 2026 Earnings Date). Sector ETF proxy: SPGI used as closest peer/sector benchmark. Source: Stock Price Data.</w:t>
      </w:r>
    </w:p>
    <w:p>
      <w:r>
        <w:rPr>
          <w:rFonts w:ascii="Calibri" w:hAnsi="Calibri"/>
          <w:i/>
          <w:color w:val="525866"/>
          <w:sz w:val="22"/>
        </w:rPr>
        <w:t>MCO closed at $490.77 on July 21, 2026, up +5.2% from the Q1 earnings date close of $466.72. SPGI declined -4.0% over the same period ($449.06 → $431.26), while SPY gained +5.2% ($711.21 → $748.28). Key observations: (1) MCO dipped to a trough of ~$429 in mid-May alongside broader market weakness and SPGI underperformance, before recovering sharply; (2) a notable re-rating began in early July, with MCO surging from ~$452 to a peak of ~$519 on July 16 before pulling back modestly to $490 ahead of earnings — suggesting some pre-earnings positioning; (3) SPGI's persistent underperformance vs. MCO likely reflects the Mobility spin-off overhang and energy segment headwinds, making MCO the cleaner pure-play ratings/analytics story. The stock's premium multiple (forward P/E mid-to-high 30s) has been sustained by the strong beat track record and structural growth narrative.</w:t>
      </w:r>
    </w:p>
    <w:p>
      <w:r>
        <w:rPr>
          <w:rFonts w:ascii="Calibri" w:hAnsi="Calibri"/>
          <w:i/>
          <w:color w:val="525866"/>
          <w:sz w:val="22"/>
        </w:rPr>
        <w:t>Source: Stock Price Data (Yahoo Finance).</w:t>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June 8 Generative AI Strategy Call</w:t>
      </w:r>
      <w:r>
        <w:rPr>
          <w:rFonts w:ascii="Calibri" w:hAnsi="Calibri"/>
          <w:color w:val="525866"/>
          <w:sz w:val="22"/>
        </w:rPr>
        <w:t>, which crystallized Moody's distribution-first AI monetization framework and reinforced the long-term MA revenue upside thesis; the RAS divestiture closing on April 30 removes a drag and cleans up the MA segment story heading into Q2.</w:t>
      </w:r>
    </w:p>
    <w:p>
      <w:pPr>
        <w:pStyle w:val="ListBullet"/>
        <w:ind w:left="360" w:hanging="360"/>
      </w:pPr>
      <w:r>
        <w:rPr>
          <w:rFonts w:ascii="Calibri" w:hAnsi="Calibri"/>
          <w:b/>
          <w:color w:val="525866"/>
          <w:sz w:val="22"/>
        </w:rPr>
        <w:t xml:space="preserve">April 22, 2026 — Q1 2026 Earnings: Record quarterly rated issuance, MIS adj. operating margin of 66.7%, MA ARR +8% YoY to $3.6B, buyback guidance raised +$500M to ~$2.5B for FY 2026. </w:t>
      </w:r>
      <w:r>
        <w:rPr>
          <w:rFonts w:ascii="Calibri" w:hAnsi="Calibri"/>
          <w:color w:val="525866"/>
          <w:sz w:val="22"/>
        </w:rPr>
        <w:t>Implication: Sets a high bar for Q2 but demonstrates the business can handle record volumes while expanding margins.</w:t>
      </w:r>
    </w:p>
    <w:p>
      <w:pPr>
        <w:pStyle w:val="ListBullet"/>
        <w:ind w:left="360" w:hanging="360"/>
      </w:pPr>
      <w:r>
        <w:rPr>
          <w:rFonts w:ascii="Calibri" w:hAnsi="Calibri"/>
          <w:b/>
          <w:color w:val="525866"/>
          <w:sz w:val="22"/>
        </w:rPr>
        <w:t xml:space="preserve">April 30, 2026 — Regulatory Solutions (RAS) Divestiture Closed: </w:t>
      </w:r>
      <w:r>
        <w:rPr>
          <w:rFonts w:ascii="Calibri" w:hAnsi="Calibri"/>
          <w:color w:val="525866"/>
          <w:sz w:val="22"/>
        </w:rPr>
        <w:t>MCO completed the sale of its Regulatory Solutions business as guided on the Q1 call. Implication: Removes a lower-growth drag from MA revenue; ARR and organic growth guidance unchanged, so the divestiture is margin-accretive for MA going forward.</w:t>
      </w:r>
    </w:p>
    <w:p>
      <w:pPr>
        <w:pStyle w:val="ListBullet"/>
        <w:ind w:left="360" w:hanging="360"/>
      </w:pPr>
      <w:r>
        <w:rPr>
          <w:rFonts w:ascii="Calibri" w:hAnsi="Calibri"/>
          <w:b/>
          <w:color w:val="525866"/>
          <w:sz w:val="22"/>
        </w:rPr>
        <w:t xml:space="preserve">May 6, 2026 — Barclays Americas Select Conference: </w:t>
      </w:r>
      <w:r>
        <w:rPr>
          <w:rFonts w:ascii="Calibri" w:hAnsi="Calibri"/>
          <w:color w:val="525866"/>
          <w:sz w:val="22"/>
        </w:rPr>
        <w:t>Management presented at Barclays conference. No material guidance changes; tone consistent with Q1 call. Implication: Confirms no incremental negative developments in early Q2.</w:t>
      </w:r>
    </w:p>
    <w:p>
      <w:pPr>
        <w:pStyle w:val="ListBullet"/>
        <w:ind w:left="360" w:hanging="360"/>
      </w:pPr>
      <w:r>
        <w:rPr>
          <w:rFonts w:ascii="Calibri" w:hAnsi="Calibri"/>
          <w:b/>
          <w:color w:val="525866"/>
          <w:sz w:val="22"/>
        </w:rPr>
        <w:t xml:space="preserve">May 28, 2026 — Bernstein Strategic Decisions Conference: </w:t>
      </w:r>
      <w:r>
        <w:rPr>
          <w:rFonts w:ascii="Calibri" w:hAnsi="Calibri"/>
          <w:color w:val="525866"/>
          <w:sz w:val="22"/>
        </w:rPr>
        <w:t>Management clarified that the Microsoft/MCP partnership uses a 'bring your own license' model focused on driving embeddedness and usage rather than immediate consumption-based pricing — revenue recognition expected to follow a multi-step cadence (announcement → engagement → pilot → contract → usage → revenue). Implication: Tempers near-term AI monetization expectations but reinforces the long-term distribution strategy.</w:t>
      </w:r>
    </w:p>
    <w:p>
      <w:pPr>
        <w:pStyle w:val="ListBullet"/>
        <w:ind w:left="360" w:hanging="360"/>
      </w:pPr>
      <w:r>
        <w:rPr>
          <w:rFonts w:ascii="Calibri" w:hAnsi="Calibri"/>
          <w:b/>
          <w:color w:val="525866"/>
          <w:sz w:val="22"/>
        </w:rPr>
        <w:t xml:space="preserve">June 8, 2026 — Moody's Generative AI Strategy Q&amp;A Call: </w:t>
      </w:r>
      <w:r>
        <w:rPr>
          <w:rFonts w:ascii="Calibri" w:hAnsi="Calibri"/>
          <w:color w:val="525866"/>
          <w:sz w:val="22"/>
        </w:rPr>
        <w:t>Management detailed the three-pillar AI strategy (Connected Intelligence, agentic workflows, distribution). Key disclosures: (1) partnerships with AWS, Anthropic, Microsoft, OpenAI are live; (2) consumption pricing model has a guaranteed base with upside derivative pricing; (3) Moody's retains the customer relationship and IP in all partner arrangements; (4) data moat defended through 170+ commercial agreements, proprietary ratings, and curated Orbis data. Implication: Significantly de-risks the AI disruption narrative and positions MA for a new revenue layer from enterprise AI adoption.</w:t>
      </w:r>
    </w:p>
    <w:p>
      <w:pPr>
        <w:pStyle w:val="ListBullet"/>
        <w:ind w:left="360" w:hanging="360"/>
      </w:pPr>
      <w:r>
        <w:rPr>
          <w:rFonts w:ascii="Calibri" w:hAnsi="Calibri"/>
          <w:b/>
          <w:color w:val="525866"/>
          <w:sz w:val="22"/>
        </w:rPr>
        <w:t xml:space="preserve">Christina Kosmowski Named Incoming MA CEO (joining June 2026): </w:t>
      </w:r>
      <w:r>
        <w:rPr>
          <w:rFonts w:ascii="Calibri" w:hAnsi="Calibri"/>
          <w:color w:val="525866"/>
          <w:sz w:val="22"/>
        </w:rPr>
        <w:t>New MA CEO focused on go-to-market simplification, partner channel development, and reducing buying friction. Implication: Leadership transition introduces some execution risk in the near term but is strategically positive for MA's long-term growth trajectory.</w:t>
      </w:r>
    </w:p>
    <w:p>
      <w:pPr>
        <w:pStyle w:val="ListBullet"/>
        <w:ind w:left="360" w:hanging="360"/>
      </w:pPr>
      <w:r>
        <w:rPr>
          <w:rFonts w:ascii="Calibri" w:hAnsi="Calibri"/>
          <w:b/>
          <w:color w:val="525866"/>
          <w:sz w:val="22"/>
        </w:rPr>
        <w:t xml:space="preserve">July 2026 — MCO Stock Rally to ~$519 (July 16 peak): </w:t>
      </w:r>
      <w:r>
        <w:rPr>
          <w:rFonts w:ascii="Calibri" w:hAnsi="Calibri"/>
          <w:color w:val="525866"/>
          <w:sz w:val="22"/>
        </w:rPr>
        <w:t>Stock surged ~15% from early July lows before pulling back to ~$491 ahead of earnings. Implication: Market appears to be pricing in a constructive Q2 print; any miss on MIS revenue or EPS could trigger a sharp reversal given the pre-earnings run-up.</w:t>
      </w:r>
    </w:p>
    <w:p>
      <w:r>
        <w:br w:type="page"/>
      </w:r>
    </w:p>
    <w:p>
      <w:pPr>
        <w:pStyle w:val="Heading2"/>
      </w:pPr>
      <w:r>
        <w:rPr>
          <w:rFonts w:ascii="Calibri" w:hAnsi="Calibri"/>
          <w:b/>
          <w:color w:val="3B4259"/>
          <w:sz w:val="28"/>
        </w:rPr>
        <w:t>7. Peer Commentaries — Read-Through for MCO Q2 2026</w:t>
      </w:r>
    </w:p>
    <w:p>
      <w:r>
        <w:rPr>
          <w:rFonts w:ascii="Calibri" w:hAnsi="Calibri"/>
          <w:b/>
          <w:color w:val="525866"/>
          <w:sz w:val="22"/>
        </w:rPr>
        <w:t xml:space="preserve">Key Takeaway: </w:t>
      </w:r>
      <w:r>
        <w:rPr>
          <w:rFonts w:ascii="Calibri" w:hAnsi="Calibri"/>
          <w:color w:val="525866"/>
          <w:sz w:val="22"/>
        </w:rPr>
        <w:t xml:space="preserve">Peer commentary from the last 60 days is broadly constructive for MCO's Q2 2026 print — SPGI confirmed resilient IG issuance and strong private credit ratings growth (+25% in Q1), MSCI's Q2 2026 results (reported today) showed accelerating private assets momentum, and FactSet's Q3 FY2026 results confirmed AI-driven data demand is a </w:t>
      </w:r>
      <w:r>
        <w:rPr>
          <w:rFonts w:ascii="Calibri" w:hAnsi="Calibri"/>
          <w:b/>
          <w:color w:val="525866"/>
          <w:sz w:val="22"/>
        </w:rPr>
        <w:t>tailwind, not a headwind</w:t>
      </w:r>
      <w:r>
        <w:rPr>
          <w:rFonts w:ascii="Calibri" w:hAnsi="Calibri"/>
          <w:color w:val="525866"/>
          <w:sz w:val="22"/>
        </w:rPr>
        <w:t>, for financial data providers with proprietary content.</w:t>
      </w:r>
    </w:p>
    <w:p>
      <w:r>
        <w:rPr>
          <w:rFonts w:ascii="Calibri" w:hAnsi="Calibri"/>
          <w:i/>
          <w:color w:val="525866"/>
          <w:sz w:val="22"/>
        </w:rPr>
        <w:t>Note: Only commentary about the current reporting quarter (Q2 2026, calendar April–June 2026) or forward-looking commentary made after MCO's last earnings (April 22, 2026) is included below. Prior-quarter result commentary has been excluded.</w:t>
      </w:r>
    </w:p>
    <w:p>
      <w:pPr>
        <w:pStyle w:val="Heading3"/>
      </w:pPr>
      <w:r>
        <w:rPr>
          <w:rFonts w:ascii="Calibri" w:hAnsi="Calibri"/>
          <w:b/>
          <w:color w:val="3B4259"/>
          <w:sz w:val="24"/>
        </w:rPr>
        <w:t>S&amp;P Global (SPGI) — Q1 2026 Earnings Call (April 28, 2026) &amp; Conferences</w:t>
      </w:r>
    </w:p>
    <w:p>
      <w:pPr>
        <w:pStyle w:val="ListBullet"/>
        <w:ind w:left="360" w:hanging="360"/>
      </w:pPr>
      <w:r>
        <w:rPr>
          <w:rFonts w:ascii="Calibri" w:hAnsi="Calibri"/>
          <w:b/>
          <w:color w:val="525866"/>
          <w:sz w:val="22"/>
        </w:rPr>
        <w:t xml:space="preserve">Issuance resilience confirmed for Q2 2026: </w:t>
      </w:r>
      <w:r>
        <w:rPr>
          <w:rFonts w:ascii="Calibri" w:hAnsi="Calibri"/>
          <w:i/>
          <w:color w:val="525866"/>
          <w:sz w:val="22"/>
        </w:rPr>
        <w:t xml:space="preserve">SPGI management stated they expect investment grade to 'continue to represent a higher mix of issuance compared to historical averages' in Q2, particularly if elevated hyperscale CapEx continues. They noted 'favorable market conditions for issuance in 2026' even with only one expected U.S. rate cut. </w:t>
      </w:r>
      <w:r>
        <w:rPr>
          <w:rFonts w:ascii="Calibri" w:hAnsi="Calibri"/>
          <w:b/>
          <w:color w:val="525866"/>
          <w:sz w:val="22"/>
        </w:rPr>
        <w:t xml:space="preserve">MCO Read-Through: </w:t>
      </w:r>
      <w:r>
        <w:rPr>
          <w:rFonts w:ascii="Calibri" w:hAnsi="Calibri"/>
          <w:color w:val="525866"/>
          <w:sz w:val="22"/>
        </w:rPr>
        <w:t>Directly supportive of MCO's Q2 MIS revenue guidance of low-to-mid-teens growth. IG issuance is the highest-margin revenue stream for MIS.</w:t>
      </w:r>
    </w:p>
    <w:p>
      <w:pPr>
        <w:pStyle w:val="ListBullet"/>
        <w:ind w:left="360" w:hanging="360"/>
      </w:pPr>
      <w:r>
        <w:rPr>
          <w:rFonts w:ascii="Calibri" w:hAnsi="Calibri"/>
          <w:b/>
          <w:color w:val="525866"/>
          <w:sz w:val="22"/>
        </w:rPr>
        <w:t xml:space="preserve">Private credit ratings growth +25% in Q1 2026: </w:t>
      </w:r>
      <w:r>
        <w:rPr>
          <w:rFonts w:ascii="Calibri" w:hAnsi="Calibri"/>
          <w:i/>
          <w:color w:val="525866"/>
          <w:sz w:val="22"/>
        </w:rPr>
        <w:t xml:space="preserve">SPGI reported private markets revenues up over 25% in Ratings in Q1 2026, with the enterprise-level private markets business now 'in the hundreds of millions of dollars.' Management described the outlook as 'cautiously optimistic' given some near-term stress in BDCs and middle-market CLOs, but noted 'increased interest over the past 12 to 18 months from LPs' globally. </w:t>
      </w:r>
      <w:r>
        <w:rPr>
          <w:rFonts w:ascii="Calibri" w:hAnsi="Calibri"/>
          <w:b/>
          <w:color w:val="525866"/>
          <w:sz w:val="22"/>
        </w:rPr>
        <w:t xml:space="preserve">MCO Read-Through: </w:t>
      </w:r>
      <w:r>
        <w:rPr>
          <w:rFonts w:ascii="Calibri" w:hAnsi="Calibri"/>
          <w:color w:val="525866"/>
          <w:sz w:val="22"/>
        </w:rPr>
        <w:t>Corroborates MCO's own &gt;80% YoY private credit revenue growth in Q1 2026. The 'cautiously optimistic' framing for Q2 suggests some moderation from Q1's pace, but the structural demand for independent credit assessment remains intact.</w:t>
      </w:r>
    </w:p>
    <w:p>
      <w:pPr>
        <w:pStyle w:val="ListBullet"/>
        <w:ind w:left="360" w:hanging="360"/>
      </w:pPr>
      <w:r>
        <w:rPr>
          <w:rFonts w:ascii="Calibri" w:hAnsi="Calibri"/>
          <w:b/>
          <w:color w:val="525866"/>
          <w:sz w:val="22"/>
        </w:rPr>
        <w:t xml:space="preserve">Ratings growth expected to remain strong in Q2 but not accelerate: </w:t>
      </w:r>
      <w:r>
        <w:rPr>
          <w:rFonts w:ascii="Calibri" w:hAnsi="Calibri"/>
          <w:i/>
          <w:color w:val="525866"/>
          <w:sz w:val="22"/>
        </w:rPr>
        <w:t xml:space="preserve">SPGI guided that 'growth is expected to remain strong in Q2 due to a favorable comparison with the disruption caused by Liberation Day last year' but 'we do not expect to see acceleration in Ratings revenue growth in the second quarter.' Ratings growth expected to 'moderate in Q3 before turning negative in Q4.' </w:t>
      </w:r>
      <w:r>
        <w:rPr>
          <w:rFonts w:ascii="Calibri" w:hAnsi="Calibri"/>
          <w:b/>
          <w:color w:val="525866"/>
          <w:sz w:val="22"/>
        </w:rPr>
        <w:t xml:space="preserve">MCO Read-Through: </w:t>
      </w:r>
      <w:r>
        <w:rPr>
          <w:rFonts w:ascii="Calibri" w:hAnsi="Calibri"/>
          <w:color w:val="525866"/>
          <w:sz w:val="22"/>
        </w:rPr>
        <w:t>Consistent with MCO's own guidance of low-to-mid-teens MIS growth in Q2 and mid-single-digit growth in H2 2026. The favorable Liberation Day comp is a tailwind for both companies in Q2.</w:t>
      </w:r>
    </w:p>
    <w:p>
      <w:pPr>
        <w:pStyle w:val="ListBullet"/>
        <w:ind w:left="360" w:hanging="360"/>
      </w:pPr>
      <w:r>
        <w:rPr>
          <w:rFonts w:ascii="Calibri" w:hAnsi="Calibri"/>
          <w:b/>
          <w:color w:val="525866"/>
          <w:sz w:val="22"/>
        </w:rPr>
        <w:t xml:space="preserve">AI data demand accelerating — 5x API call growth: </w:t>
      </w:r>
      <w:r>
        <w:rPr>
          <w:rFonts w:ascii="Calibri" w:hAnsi="Calibri"/>
          <w:i/>
          <w:color w:val="525866"/>
          <w:sz w:val="22"/>
        </w:rPr>
        <w:t xml:space="preserve">At the Bernstein conference (May 27), SPGI CEO Martina Cheung disclosed that clients are 'willing to pay anywhere from 35% to 45% more to get the AI-ready version of a data set at the renewal' and that API call volumes grew 5x in Q1 vs. the prior quarter. She noted 'there's not a single customer that I talk to who doesn't look to us and say, we need you even more now.' </w:t>
      </w:r>
      <w:r>
        <w:rPr>
          <w:rFonts w:ascii="Calibri" w:hAnsi="Calibri"/>
          <w:b/>
          <w:color w:val="525866"/>
          <w:sz w:val="22"/>
        </w:rPr>
        <w:t xml:space="preserve">MCO Read-Through: </w:t>
      </w:r>
      <w:r>
        <w:rPr>
          <w:rFonts w:ascii="Calibri" w:hAnsi="Calibri"/>
          <w:color w:val="525866"/>
          <w:sz w:val="22"/>
        </w:rPr>
        <w:t>Validates MCO's AI distribution strategy and the premium pricing thesis for decision-grade data. Supports the MA ARR growth trajectory and the consumption-based pricing model MCO is building toward.</w:t>
      </w:r>
    </w:p>
    <w:p>
      <w:pPr>
        <w:pStyle w:val="ListBullet"/>
        <w:ind w:left="360" w:hanging="360"/>
      </w:pPr>
      <w:r>
        <w:rPr>
          <w:rFonts w:ascii="Calibri" w:hAnsi="Calibri"/>
          <w:b/>
          <w:color w:val="525866"/>
          <w:sz w:val="22"/>
        </w:rPr>
        <w:t xml:space="preserve">Geopolitical risk (Iran conflict) flagged as key variable: </w:t>
      </w:r>
      <w:r>
        <w:rPr>
          <w:rFonts w:ascii="Calibri" w:hAnsi="Calibri"/>
          <w:i/>
          <w:color w:val="525866"/>
          <w:sz w:val="22"/>
        </w:rPr>
        <w:t xml:space="preserve">SPGI's full-year outlook assumes the Iran conflict 'stabilizes by the end of Q2 2026.' If it persists, 'more significant indirect headwinds in market-sensitive businesses' are expected. </w:t>
      </w:r>
      <w:r>
        <w:rPr>
          <w:rFonts w:ascii="Calibri" w:hAnsi="Calibri"/>
          <w:b/>
          <w:color w:val="525866"/>
          <w:sz w:val="22"/>
        </w:rPr>
        <w:t xml:space="preserve">MCO Read-Through: </w:t>
      </w:r>
      <w:r>
        <w:rPr>
          <w:rFonts w:ascii="Calibri" w:hAnsi="Calibri"/>
          <w:color w:val="525866"/>
          <w:sz w:val="22"/>
        </w:rPr>
        <w:t>MCO management made the same call on April 22 — the Iran war was cited as 'the most important variable.' If markets remained constructive through Q2 (as the stock performance suggests), this risk did not materialize into a meaningful headwind.</w:t>
      </w:r>
    </w:p>
    <w:p>
      <w:pPr>
        <w:pStyle w:val="Heading3"/>
      </w:pPr>
      <w:r>
        <w:rPr>
          <w:rFonts w:ascii="Calibri" w:hAnsi="Calibri"/>
          <w:b/>
          <w:color w:val="3B4259"/>
          <w:sz w:val="24"/>
        </w:rPr>
        <w:t>ICE — Q1 2026 Earnings Call (April 30, 2026) &amp; Bernstein Conference (May 27, 2026)</w:t>
      </w:r>
    </w:p>
    <w:p>
      <w:pPr>
        <w:pStyle w:val="ListBullet"/>
        <w:ind w:left="360" w:hanging="360"/>
      </w:pPr>
      <w:r>
        <w:rPr>
          <w:rFonts w:ascii="Calibri" w:hAnsi="Calibri"/>
          <w:b/>
          <w:color w:val="525866"/>
          <w:sz w:val="22"/>
        </w:rPr>
        <w:t xml:space="preserve">Private credit data infrastructure buildout accelerating: </w:t>
      </w:r>
      <w:r>
        <w:rPr>
          <w:rFonts w:ascii="Calibri" w:hAnsi="Calibri"/>
          <w:i/>
          <w:color w:val="525866"/>
          <w:sz w:val="22"/>
        </w:rPr>
        <w:t xml:space="preserve">ICE launched 'ICE Private Credit Intelligence' with Apollo as anchor partner, building a standardized dataset of '350 unique qualities' per loan from ~12,000 loan documents covering ~1,100 loans. ICE noted the private credit asset class 'still operates without the standardized reference data framework that is foundational to the transparency in traditional fixed income markets.' </w:t>
      </w:r>
      <w:r>
        <w:rPr>
          <w:rFonts w:ascii="Calibri" w:hAnsi="Calibri"/>
          <w:b/>
          <w:color w:val="525866"/>
          <w:sz w:val="22"/>
        </w:rPr>
        <w:t xml:space="preserve">MCO Read-Through: </w:t>
      </w:r>
      <w:r>
        <w:rPr>
          <w:rFonts w:ascii="Calibri" w:hAnsi="Calibri"/>
          <w:color w:val="525866"/>
          <w:sz w:val="22"/>
        </w:rPr>
        <w:t>The push for private credit transparency is a structural tailwind for MCO's ratings business. As ICE builds the data layer, demand for independent credit assessments (Moody's ratings) increases alongside it. ICE is a complement, not a competitor, in this context.</w:t>
      </w:r>
    </w:p>
    <w:p>
      <w:pPr>
        <w:pStyle w:val="ListBullet"/>
        <w:ind w:left="360" w:hanging="360"/>
      </w:pPr>
      <w:r>
        <w:rPr>
          <w:rFonts w:ascii="Calibri" w:hAnsi="Calibri"/>
          <w:b/>
          <w:color w:val="525866"/>
          <w:sz w:val="22"/>
        </w:rPr>
        <w:t xml:space="preserve">CDS clearing record quarter; interest rate complex +70% YoY: </w:t>
      </w:r>
      <w:r>
        <w:rPr>
          <w:rFonts w:ascii="Calibri" w:hAnsi="Calibri"/>
          <w:i/>
          <w:color w:val="525866"/>
          <w:sz w:val="22"/>
        </w:rPr>
        <w:t xml:space="preserve">ICE's CDS Clearing business delivered a record revenue quarter with growth approaching 20%, and the interest rate complex grew nearly 70% YoY as 'investors and institutions increasingly seek to manage duration risk.' Total futures and options open interest hit a new record, up 23% YoY. </w:t>
      </w:r>
      <w:r>
        <w:rPr>
          <w:rFonts w:ascii="Calibri" w:hAnsi="Calibri"/>
          <w:b/>
          <w:color w:val="525866"/>
          <w:sz w:val="22"/>
        </w:rPr>
        <w:t xml:space="preserve">MCO Read-Through: </w:t>
      </w:r>
      <w:r>
        <w:rPr>
          <w:rFonts w:ascii="Calibri" w:hAnsi="Calibri"/>
          <w:color w:val="525866"/>
          <w:sz w:val="22"/>
        </w:rPr>
        <w:t>Elevated credit market activity and duration risk management demand are consistent with a healthy issuance environment for MCO's MIS segment. Elevated volatility drives both hedging demand (ICE) and issuance activity (MCO).</w:t>
      </w:r>
    </w:p>
    <w:p>
      <w:pPr>
        <w:pStyle w:val="ListBullet"/>
        <w:ind w:left="360" w:hanging="360"/>
      </w:pPr>
      <w:r>
        <w:rPr>
          <w:rFonts w:ascii="Calibri" w:hAnsi="Calibri"/>
          <w:b/>
          <w:color w:val="525866"/>
          <w:sz w:val="22"/>
        </w:rPr>
        <w:t xml:space="preserve">AI as tailwind for data businesses: </w:t>
      </w:r>
      <w:r>
        <w:rPr>
          <w:rFonts w:ascii="Calibri" w:hAnsi="Calibri"/>
          <w:i/>
          <w:color w:val="525866"/>
          <w:sz w:val="22"/>
        </w:rPr>
        <w:t xml:space="preserve">ICE management stated AI is a 'tailwind' and that 'customers are embedding our proprietary and secure real-time data for inference in their workflows... as these use cases deepen, demand for ICE's proprietary data increases rather than decreases.' Fannie and Freddie cited as requiring 'a foundational data layer that is auditable' for AI-underwritten mortgages. </w:t>
      </w:r>
      <w:r>
        <w:rPr>
          <w:rFonts w:ascii="Calibri" w:hAnsi="Calibri"/>
          <w:b/>
          <w:color w:val="525866"/>
          <w:sz w:val="22"/>
        </w:rPr>
        <w:t xml:space="preserve">MCO Read-Through: </w:t>
      </w:r>
      <w:r>
        <w:rPr>
          <w:rFonts w:ascii="Calibri" w:hAnsi="Calibri"/>
          <w:color w:val="525866"/>
          <w:sz w:val="22"/>
        </w:rPr>
        <w:t>Reinforces the 'decision-grade data' moat thesis for MCO's MA segment. Regulated financial institutions' demand for auditable, explainable data is exactly the use case MCO's Connected Intelligence system is designed for.</w:t>
      </w:r>
    </w:p>
    <w:p>
      <w:pPr>
        <w:pStyle w:val="Heading3"/>
      </w:pPr>
      <w:r>
        <w:rPr>
          <w:rFonts w:ascii="Calibri" w:hAnsi="Calibri"/>
          <w:b/>
          <w:color w:val="3B4259"/>
          <w:sz w:val="24"/>
        </w:rPr>
        <w:t>MSCI — Q2 2026 Earnings Call (July 21, 2026) &amp; Bernstein Conference (May 28, 2026)</w:t>
      </w:r>
    </w:p>
    <w:p>
      <w:pPr>
        <w:pStyle w:val="ListBullet"/>
        <w:ind w:left="360" w:hanging="360"/>
      </w:pPr>
      <w:r>
        <w:rPr>
          <w:rFonts w:ascii="Calibri" w:hAnsi="Calibri"/>
          <w:b/>
          <w:color w:val="525866"/>
          <w:sz w:val="22"/>
        </w:rPr>
        <w:t xml:space="preserve">Private assets momentum accelerating sharply — 57% recurring net new sales growth in Q2 2026: </w:t>
      </w:r>
      <w:r>
        <w:rPr>
          <w:rFonts w:ascii="Calibri" w:hAnsi="Calibri"/>
          <w:i/>
          <w:color w:val="525866"/>
          <w:sz w:val="22"/>
        </w:rPr>
        <w:t xml:space="preserve">MSCI reported 57% recurring net new sales growth in private assets in Q2 2026, with private capital solutions subscription run rate growth accelerating to over 16%. CEO Henry Fernandez stated 'we are just getting started on the acceleration of private assets.' New UBS partnership announced to extend private asset solutions to wealth managers. </w:t>
      </w:r>
      <w:r>
        <w:rPr>
          <w:rFonts w:ascii="Calibri" w:hAnsi="Calibri"/>
          <w:b/>
          <w:color w:val="525866"/>
          <w:sz w:val="22"/>
        </w:rPr>
        <w:t xml:space="preserve">MCO Read-Through: </w:t>
      </w:r>
      <w:r>
        <w:rPr>
          <w:rFonts w:ascii="Calibri" w:hAnsi="Calibri"/>
          <w:color w:val="525866"/>
          <w:sz w:val="22"/>
        </w:rPr>
        <w:t>MSCI's private assets acceleration is a direct read-through for MCO's private credit ratings and MA analytics businesses. Growing LP demand for transparency and performance data on private portfolios drives demand for Moody's independent ratings and risk analytics. MSCI also has a direct partnership with Moody's for private credit risk scoring.</w:t>
      </w:r>
    </w:p>
    <w:p>
      <w:pPr>
        <w:pStyle w:val="ListBullet"/>
        <w:ind w:left="360" w:hanging="360"/>
      </w:pPr>
      <w:r>
        <w:rPr>
          <w:rFonts w:ascii="Calibri" w:hAnsi="Calibri"/>
          <w:b/>
          <w:color w:val="525866"/>
          <w:sz w:val="22"/>
        </w:rPr>
        <w:t xml:space="preserve">MSCI Q2 2026: Organic revenue growth &gt;12%, adj. EPS growth ~19%, total run rate growth 12%: </w:t>
      </w:r>
      <w:r>
        <w:rPr>
          <w:rFonts w:ascii="Calibri" w:hAnsi="Calibri"/>
          <w:i/>
          <w:color w:val="525866"/>
          <w:sz w:val="22"/>
        </w:rPr>
        <w:t xml:space="preserve">MSCI delivered 'very strong financial results' with organic revenue growth of over 12%, adjusted EPS growth of nearly 19%, and adjusted EBITDA growth of 14%. Management stated 'we are pretty bullish on our outlook' with a 'very good pipeline for the next few quarters.' </w:t>
      </w:r>
      <w:r>
        <w:rPr>
          <w:rFonts w:ascii="Calibri" w:hAnsi="Calibri"/>
          <w:b/>
          <w:color w:val="525866"/>
          <w:sz w:val="22"/>
        </w:rPr>
        <w:t xml:space="preserve">MCO Read-Through: </w:t>
      </w:r>
      <w:r>
        <w:rPr>
          <w:rFonts w:ascii="Calibri" w:hAnsi="Calibri"/>
          <w:color w:val="525866"/>
          <w:sz w:val="22"/>
        </w:rPr>
        <w:t>MSCI's strong Q2 results confirm that financial data and analytics demand remained robust through the quarter, a positive read-through for MCO's MA ARR growth trajectory. The 'bullish outlook' tone from MSCI management is consistent with a constructive environment for MCO's Q2 print.</w:t>
      </w:r>
    </w:p>
    <w:p>
      <w:pPr>
        <w:pStyle w:val="ListBullet"/>
        <w:ind w:left="360" w:hanging="360"/>
      </w:pPr>
      <w:r>
        <w:rPr>
          <w:rFonts w:ascii="Calibri" w:hAnsi="Calibri"/>
          <w:b/>
          <w:color w:val="525866"/>
          <w:sz w:val="22"/>
        </w:rPr>
        <w:t xml:space="preserve">AI enabling faster product development and new data monetization: </w:t>
      </w:r>
      <w:r>
        <w:rPr>
          <w:rFonts w:ascii="Calibri" w:hAnsi="Calibri"/>
          <w:i/>
          <w:color w:val="525866"/>
          <w:sz w:val="22"/>
        </w:rPr>
        <w:t xml:space="preserve">MSCI signed its 'first training license' giving a client the right to train a model using MSCI content, described as a 'nice tailwind.' Clients are 'becoming more quantitative, leaning on AI-driven tools and want broader access to more content sets across broader parts of their organizations.' At the Bernstein conference, MSCI noted AI is allowing them to 'get deeper, very rapidly deeper insights into the rich amounts of private credit information.' </w:t>
      </w:r>
      <w:r>
        <w:rPr>
          <w:rFonts w:ascii="Calibri" w:hAnsi="Calibri"/>
          <w:b/>
          <w:color w:val="525866"/>
          <w:sz w:val="22"/>
        </w:rPr>
        <w:t xml:space="preserve">MCO Read-Through: </w:t>
      </w:r>
      <w:r>
        <w:rPr>
          <w:rFonts w:ascii="Calibri" w:hAnsi="Calibri"/>
          <w:color w:val="525866"/>
          <w:sz w:val="22"/>
        </w:rPr>
        <w:t>Validates MCO's AI monetization thesis. The trend of clients wanting broader enterprise access to financial data content is directly supportive of MCO's MA ARR growth and the consumption-based pricing model being developed.</w:t>
      </w:r>
    </w:p>
    <w:p>
      <w:pPr>
        <w:pStyle w:val="ListBullet"/>
        <w:ind w:left="360" w:hanging="360"/>
      </w:pPr>
      <w:r>
        <w:rPr>
          <w:rFonts w:ascii="Calibri" w:hAnsi="Calibri"/>
          <w:b/>
          <w:color w:val="525866"/>
          <w:sz w:val="22"/>
        </w:rPr>
        <w:t xml:space="preserve">MSCI-Moody's partnership for private credit risk scoring: </w:t>
      </w:r>
      <w:r>
        <w:rPr>
          <w:rFonts w:ascii="Calibri" w:hAnsi="Calibri"/>
          <w:i/>
          <w:color w:val="525866"/>
          <w:sz w:val="22"/>
        </w:rPr>
        <w:t xml:space="preserve">At the Bernstein conference (May 28), MSCI management explicitly confirmed: 'We have a partnership with Moody's that allows us to do private credit risk scoring for clients.' </w:t>
      </w:r>
      <w:r>
        <w:rPr>
          <w:rFonts w:ascii="Calibri" w:hAnsi="Calibri"/>
          <w:b/>
          <w:color w:val="525866"/>
          <w:sz w:val="22"/>
        </w:rPr>
        <w:t xml:space="preserve">MCO Read-Through: </w:t>
      </w:r>
      <w:r>
        <w:rPr>
          <w:rFonts w:ascii="Calibri" w:hAnsi="Calibri"/>
          <w:color w:val="525866"/>
          <w:sz w:val="22"/>
        </w:rPr>
        <w:t>Direct confirmation that the MSCI-MCO partnership is active and generating commercial activity. This is an incremental revenue stream for MCO's MA segment that may not be fully reflected in consensus estimates.</w:t>
      </w:r>
    </w:p>
    <w:p>
      <w:pPr>
        <w:pStyle w:val="Heading3"/>
      </w:pPr>
      <w:r>
        <w:rPr>
          <w:rFonts w:ascii="Calibri" w:hAnsi="Calibri"/>
          <w:b/>
          <w:color w:val="3B4259"/>
          <w:sz w:val="24"/>
        </w:rPr>
        <w:t>FactSet (FDS) — Q3 FY2026 Earnings Call (July 1, 2026)</w:t>
      </w:r>
    </w:p>
    <w:p>
      <w:pPr>
        <w:pStyle w:val="ListBullet"/>
        <w:ind w:left="360" w:hanging="360"/>
      </w:pPr>
      <w:r>
        <w:rPr>
          <w:rFonts w:ascii="Calibri" w:hAnsi="Calibri"/>
          <w:b/>
          <w:color w:val="525866"/>
          <w:sz w:val="22"/>
        </w:rPr>
        <w:t xml:space="preserve">AI is a tailwind for financial data providers with proprietary content: </w:t>
      </w:r>
      <w:r>
        <w:rPr>
          <w:rFonts w:ascii="Calibri" w:hAnsi="Calibri"/>
          <w:i/>
          <w:color w:val="525866"/>
          <w:sz w:val="22"/>
        </w:rPr>
        <w:t xml:space="preserve">FactSet reported 'the fourth consecutive quarter of double-digit growth in ASV for our data solutions, with MCP contributing to the momentum.' A major global bank 'literally doubled their data subscriptions with us because of AI.' API call volume grew '13 times the level we experienced in Q2.' Management stated 'AI is a tailwind for us' and reaffirmed guidance, tracking toward the high end of revenue and EPS ranges. </w:t>
      </w:r>
      <w:r>
        <w:rPr>
          <w:rFonts w:ascii="Calibri" w:hAnsi="Calibri"/>
          <w:b/>
          <w:color w:val="525866"/>
          <w:sz w:val="22"/>
        </w:rPr>
        <w:t xml:space="preserve">MCO Read-Through: </w:t>
      </w:r>
      <w:r>
        <w:rPr>
          <w:rFonts w:ascii="Calibri" w:hAnsi="Calibri"/>
          <w:color w:val="525866"/>
          <w:sz w:val="22"/>
        </w:rPr>
        <w:t>FactSet's results are the most direct read-through for MCO's MA segment — both sell financial data and analytics to institutional clients. The AI-driven data demand acceleration at FactSet is a strong positive signal for MCO's MA ARR growth in Q2 2026 and beyond.</w:t>
      </w:r>
    </w:p>
    <w:p>
      <w:pPr>
        <w:pStyle w:val="ListBullet"/>
        <w:ind w:left="360" w:hanging="360"/>
      </w:pPr>
      <w:r>
        <w:rPr>
          <w:rFonts w:ascii="Calibri" w:hAnsi="Calibri"/>
          <w:b/>
          <w:color w:val="525866"/>
          <w:sz w:val="22"/>
        </w:rPr>
        <w:t xml:space="preserve">Private capital data among fastest-growing SKUs: </w:t>
      </w:r>
      <w:r>
        <w:rPr>
          <w:rFonts w:ascii="Calibri" w:hAnsi="Calibri"/>
          <w:i/>
          <w:color w:val="525866"/>
          <w:sz w:val="22"/>
        </w:rPr>
        <w:t xml:space="preserve">FactSet noted it is 'extending our capabilities in private capital' and that 'our private market data sets are some of the fastest growing SKUs in data delivery.' Dealmakers (including private capital firms) organic ASV grew 9%. </w:t>
      </w:r>
      <w:r>
        <w:rPr>
          <w:rFonts w:ascii="Calibri" w:hAnsi="Calibri"/>
          <w:b/>
          <w:color w:val="525866"/>
          <w:sz w:val="22"/>
        </w:rPr>
        <w:t xml:space="preserve">MCO Read-Through: </w:t>
      </w:r>
      <w:r>
        <w:rPr>
          <w:rFonts w:ascii="Calibri" w:hAnsi="Calibri"/>
          <w:color w:val="525866"/>
          <w:sz w:val="22"/>
        </w:rPr>
        <w:t>Consistent with the private credit growth theme across the sector. Supports MCO's MA Decision Solutions and KYC businesses, which serve similar client segments.</w:t>
      </w:r>
    </w:p>
    <w:p>
      <w:pPr>
        <w:pStyle w:val="ListBullet"/>
        <w:ind w:left="360" w:hanging="360"/>
      </w:pPr>
      <w:r>
        <w:rPr>
          <w:rFonts w:ascii="Calibri" w:hAnsi="Calibri"/>
          <w:b/>
          <w:color w:val="525866"/>
          <w:sz w:val="22"/>
        </w:rPr>
        <w:t xml:space="preserve">MCP server adoption: 450+ clients, 13x API call growth QoQ: </w:t>
      </w:r>
      <w:r>
        <w:rPr>
          <w:rFonts w:ascii="Calibri" w:hAnsi="Calibri"/>
          <w:i/>
          <w:color w:val="525866"/>
          <w:sz w:val="22"/>
        </w:rPr>
        <w:t xml:space="preserve">FactSet's MCP server has 'over 450 clients actively engaged under contracts and trials' with API call volume at '13 times the level we experienced in Q2.' Clients can access FactSet data through 'all major Frontier Lab platforms including Anthropic, OpenAI, Google, and Microsoft.' </w:t>
      </w:r>
      <w:r>
        <w:rPr>
          <w:rFonts w:ascii="Calibri" w:hAnsi="Calibri"/>
          <w:b/>
          <w:color w:val="525866"/>
          <w:sz w:val="22"/>
        </w:rPr>
        <w:t xml:space="preserve">MCO Read-Through: </w:t>
      </w:r>
      <w:r>
        <w:rPr>
          <w:rFonts w:ascii="Calibri" w:hAnsi="Calibri"/>
          <w:color w:val="525866"/>
          <w:sz w:val="22"/>
        </w:rPr>
        <w:t>The MCP distribution model is gaining rapid traction across the financial data sector. MCO's own MCP integrations (live with ChatGPT Enterprise, Claude/Anthropic, AWS, Microsoft 365 Copilot) are following the same playbook, and FactSet's results suggest the commercial model is working.</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No open-market buys; all transactions since Q1 earnings are </w:t>
      </w:r>
      <w:r>
        <w:rPr>
          <w:rFonts w:ascii="Calibri" w:hAnsi="Calibri"/>
          <w:b/>
          <w:color w:val="525866"/>
          <w:sz w:val="22"/>
        </w:rPr>
        <w:t>pre-planned 10b5-1 sales</w:t>
      </w:r>
      <w:r>
        <w:rPr>
          <w:rFonts w:ascii="Calibri" w:hAnsi="Calibri"/>
          <w:color w:val="525866"/>
          <w:sz w:val="22"/>
        </w:rPr>
        <w:t xml:space="preserve"> by the CEO and General Counsel — these are mechanical, obligation-driven dispositions and carry no negative signal; the absence of any discretionary selling or buying is neutral.</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Robert Fauber</w:t>
            </w:r>
          </w:p>
        </w:tc>
        <w:tc>
          <w:tcPr>
            <w:tcW w:type="dxa" w:w="1440"/>
          </w:tcPr>
          <w:p>
            <w:r>
              <w:rPr>
                <w:rFonts w:ascii="Calibri" w:hAnsi="Calibri"/>
                <w:sz w:val="22"/>
              </w:rPr>
              <w:t>President &amp; CEO</w:t>
            </w:r>
          </w:p>
        </w:tc>
        <w:tc>
          <w:tcPr>
            <w:tcW w:type="dxa" w:w="1440"/>
          </w:tcPr>
          <w:p>
            <w:r>
              <w:rPr>
                <w:rFonts w:ascii="Calibri" w:hAnsi="Calibri"/>
                <w:sz w:val="22"/>
              </w:rPr>
              <w:t>10b5-1 Planned Sale</w:t>
            </w:r>
          </w:p>
        </w:tc>
        <w:tc>
          <w:tcPr>
            <w:tcW w:type="dxa" w:w="1440"/>
          </w:tcPr>
          <w:p>
            <w:r>
              <w:rPr>
                <w:rFonts w:ascii="Calibri" w:hAnsi="Calibri"/>
                <w:sz w:val="22"/>
              </w:rPr>
              <w:t>1,467 shares</w:t>
            </w:r>
          </w:p>
        </w:tc>
        <w:tc>
          <w:tcPr>
            <w:tcW w:type="dxa" w:w="1440"/>
          </w:tcPr>
          <w:p>
            <w:r>
              <w:rPr>
                <w:rFonts w:ascii="Calibri" w:hAnsi="Calibri"/>
                <w:sz w:val="22"/>
              </w:rPr>
              <w:t>July 1, 2026</w:t>
            </w:r>
          </w:p>
        </w:tc>
        <w:tc>
          <w:tcPr>
            <w:tcW w:type="dxa" w:w="1440"/>
          </w:tcPr>
          <w:p>
            <w:r>
              <w:rPr>
                <w:rFonts w:ascii="Calibri" w:hAnsi="Calibri"/>
                <w:sz w:val="22"/>
              </w:rPr>
              <w:t>Pre-planned 10b5-1 sale; routine monthly disposition; not discretionary</w:t>
            </w:r>
          </w:p>
        </w:tc>
      </w:tr>
      <w:tr>
        <w:tc>
          <w:tcPr>
            <w:tcW w:type="dxa" w:w="1440"/>
          </w:tcPr>
          <w:p>
            <w:r>
              <w:rPr>
                <w:rFonts w:ascii="Calibri" w:hAnsi="Calibri"/>
                <w:sz w:val="22"/>
              </w:rPr>
              <w:t>Richard G. Steele</w:t>
            </w:r>
          </w:p>
        </w:tc>
        <w:tc>
          <w:tcPr>
            <w:tcW w:type="dxa" w:w="1440"/>
          </w:tcPr>
          <w:p>
            <w:r>
              <w:rPr>
                <w:rFonts w:ascii="Calibri" w:hAnsi="Calibri"/>
                <w:sz w:val="22"/>
              </w:rPr>
              <w:t>SVP — General Counsel</w:t>
            </w:r>
          </w:p>
        </w:tc>
        <w:tc>
          <w:tcPr>
            <w:tcW w:type="dxa" w:w="1440"/>
          </w:tcPr>
          <w:p>
            <w:r>
              <w:rPr>
                <w:rFonts w:ascii="Calibri" w:hAnsi="Calibri"/>
                <w:sz w:val="22"/>
              </w:rPr>
              <w:t>10b5-1 Planned Sale</w:t>
            </w:r>
          </w:p>
        </w:tc>
        <w:tc>
          <w:tcPr>
            <w:tcW w:type="dxa" w:w="1440"/>
          </w:tcPr>
          <w:p>
            <w:r>
              <w:rPr>
                <w:rFonts w:ascii="Calibri" w:hAnsi="Calibri"/>
                <w:sz w:val="22"/>
              </w:rPr>
              <w:t>157 shares</w:t>
            </w:r>
          </w:p>
        </w:tc>
        <w:tc>
          <w:tcPr>
            <w:tcW w:type="dxa" w:w="1440"/>
          </w:tcPr>
          <w:p>
            <w:r>
              <w:rPr>
                <w:rFonts w:ascii="Calibri" w:hAnsi="Calibri"/>
                <w:sz w:val="22"/>
              </w:rPr>
              <w:t>July 1, 2026</w:t>
            </w:r>
          </w:p>
        </w:tc>
        <w:tc>
          <w:tcPr>
            <w:tcW w:type="dxa" w:w="1440"/>
          </w:tcPr>
          <w:p>
            <w:r>
              <w:rPr>
                <w:rFonts w:ascii="Calibri" w:hAnsi="Calibri"/>
                <w:sz w:val="22"/>
              </w:rPr>
              <w:t>Pre-planned 10b5-1 sale; routine monthly disposition; not discretionary</w:t>
            </w:r>
          </w:p>
        </w:tc>
      </w:tr>
      <w:tr>
        <w:tc>
          <w:tcPr>
            <w:tcW w:type="dxa" w:w="1440"/>
          </w:tcPr>
          <w:p>
            <w:r>
              <w:rPr>
                <w:rFonts w:ascii="Calibri" w:hAnsi="Calibri"/>
                <w:sz w:val="22"/>
              </w:rPr>
              <w:t>Richard G. Steele</w:t>
            </w:r>
          </w:p>
        </w:tc>
        <w:tc>
          <w:tcPr>
            <w:tcW w:type="dxa" w:w="1440"/>
          </w:tcPr>
          <w:p>
            <w:r>
              <w:rPr>
                <w:rFonts w:ascii="Calibri" w:hAnsi="Calibri"/>
                <w:sz w:val="22"/>
              </w:rPr>
              <w:t>SVP — General Counsel</w:t>
            </w:r>
          </w:p>
        </w:tc>
        <w:tc>
          <w:tcPr>
            <w:tcW w:type="dxa" w:w="1440"/>
          </w:tcPr>
          <w:p>
            <w:r>
              <w:rPr>
                <w:rFonts w:ascii="Calibri" w:hAnsi="Calibri"/>
                <w:sz w:val="22"/>
              </w:rPr>
              <w:t>10b5-1 Planned Sale</w:t>
            </w:r>
          </w:p>
        </w:tc>
        <w:tc>
          <w:tcPr>
            <w:tcW w:type="dxa" w:w="1440"/>
          </w:tcPr>
          <w:p>
            <w:r>
              <w:rPr>
                <w:rFonts w:ascii="Calibri" w:hAnsi="Calibri"/>
                <w:sz w:val="22"/>
              </w:rPr>
              <w:t>158 shares</w:t>
            </w:r>
          </w:p>
        </w:tc>
        <w:tc>
          <w:tcPr>
            <w:tcW w:type="dxa" w:w="1440"/>
          </w:tcPr>
          <w:p>
            <w:r>
              <w:rPr>
                <w:rFonts w:ascii="Calibri" w:hAnsi="Calibri"/>
                <w:sz w:val="22"/>
              </w:rPr>
              <w:t>June 1, 2026</w:t>
            </w:r>
          </w:p>
        </w:tc>
        <w:tc>
          <w:tcPr>
            <w:tcW w:type="dxa" w:w="1440"/>
          </w:tcPr>
          <w:p>
            <w:r>
              <w:rPr>
                <w:rFonts w:ascii="Calibri" w:hAnsi="Calibri"/>
                <w:sz w:val="22"/>
              </w:rPr>
              <w:t>Pre-planned 10b5-1 sale; routine monthly disposition; not discretionary</w:t>
            </w:r>
          </w:p>
        </w:tc>
      </w:tr>
      <w:tr>
        <w:tc>
          <w:tcPr>
            <w:tcW w:type="dxa" w:w="1440"/>
          </w:tcPr>
          <w:p>
            <w:r>
              <w:rPr>
                <w:rFonts w:ascii="Calibri" w:hAnsi="Calibri"/>
                <w:sz w:val="22"/>
              </w:rPr>
              <w:t>Robert Fauber</w:t>
            </w:r>
          </w:p>
        </w:tc>
        <w:tc>
          <w:tcPr>
            <w:tcW w:type="dxa" w:w="1440"/>
          </w:tcPr>
          <w:p>
            <w:r>
              <w:rPr>
                <w:rFonts w:ascii="Calibri" w:hAnsi="Calibri"/>
                <w:sz w:val="22"/>
              </w:rPr>
              <w:t>President &amp; CEO</w:t>
            </w:r>
          </w:p>
        </w:tc>
        <w:tc>
          <w:tcPr>
            <w:tcW w:type="dxa" w:w="1440"/>
          </w:tcPr>
          <w:p>
            <w:r>
              <w:rPr>
                <w:rFonts w:ascii="Calibri" w:hAnsi="Calibri"/>
                <w:sz w:val="22"/>
              </w:rPr>
              <w:t>10b5-1 Planned Sale</w:t>
            </w:r>
          </w:p>
        </w:tc>
        <w:tc>
          <w:tcPr>
            <w:tcW w:type="dxa" w:w="1440"/>
          </w:tcPr>
          <w:p>
            <w:r>
              <w:rPr>
                <w:rFonts w:ascii="Calibri" w:hAnsi="Calibri"/>
                <w:sz w:val="22"/>
              </w:rPr>
              <w:t>1,467 shares</w:t>
            </w:r>
          </w:p>
        </w:tc>
        <w:tc>
          <w:tcPr>
            <w:tcW w:type="dxa" w:w="1440"/>
          </w:tcPr>
          <w:p>
            <w:r>
              <w:rPr>
                <w:rFonts w:ascii="Calibri" w:hAnsi="Calibri"/>
                <w:sz w:val="22"/>
              </w:rPr>
              <w:t>May 1, 2026</w:t>
            </w:r>
          </w:p>
        </w:tc>
        <w:tc>
          <w:tcPr>
            <w:tcW w:type="dxa" w:w="1440"/>
          </w:tcPr>
          <w:p>
            <w:r>
              <w:rPr>
                <w:rFonts w:ascii="Calibri" w:hAnsi="Calibri"/>
                <w:sz w:val="22"/>
              </w:rPr>
              <w:t>Pre-planned 10b5-1 sale; routine monthly disposition; not discretionary</w:t>
            </w:r>
          </w:p>
        </w:tc>
      </w:tr>
      <w:tr>
        <w:tc>
          <w:tcPr>
            <w:tcW w:type="dxa" w:w="1440"/>
          </w:tcPr>
          <w:p>
            <w:r>
              <w:rPr>
                <w:rFonts w:ascii="Calibri" w:hAnsi="Calibri"/>
                <w:sz w:val="22"/>
              </w:rPr>
              <w:t>Richard G. Steele</w:t>
            </w:r>
          </w:p>
        </w:tc>
        <w:tc>
          <w:tcPr>
            <w:tcW w:type="dxa" w:w="1440"/>
          </w:tcPr>
          <w:p>
            <w:r>
              <w:rPr>
                <w:rFonts w:ascii="Calibri" w:hAnsi="Calibri"/>
                <w:sz w:val="22"/>
              </w:rPr>
              <w:t>SVP — General Counsel</w:t>
            </w:r>
          </w:p>
        </w:tc>
        <w:tc>
          <w:tcPr>
            <w:tcW w:type="dxa" w:w="1440"/>
          </w:tcPr>
          <w:p>
            <w:r>
              <w:rPr>
                <w:rFonts w:ascii="Calibri" w:hAnsi="Calibri"/>
                <w:sz w:val="22"/>
              </w:rPr>
              <w:t>10b5-1 Planned Sale</w:t>
            </w:r>
          </w:p>
        </w:tc>
        <w:tc>
          <w:tcPr>
            <w:tcW w:type="dxa" w:w="1440"/>
          </w:tcPr>
          <w:p>
            <w:r>
              <w:rPr>
                <w:rFonts w:ascii="Calibri" w:hAnsi="Calibri"/>
                <w:sz w:val="22"/>
              </w:rPr>
              <w:t>158 shares</w:t>
            </w:r>
          </w:p>
        </w:tc>
        <w:tc>
          <w:tcPr>
            <w:tcW w:type="dxa" w:w="1440"/>
          </w:tcPr>
          <w:p>
            <w:r>
              <w:rPr>
                <w:rFonts w:ascii="Calibri" w:hAnsi="Calibri"/>
                <w:sz w:val="22"/>
              </w:rPr>
              <w:t>May 1, 2026</w:t>
            </w:r>
          </w:p>
        </w:tc>
        <w:tc>
          <w:tcPr>
            <w:tcW w:type="dxa" w:w="1440"/>
          </w:tcPr>
          <w:p>
            <w:r>
              <w:rPr>
                <w:rFonts w:ascii="Calibri" w:hAnsi="Calibri"/>
                <w:sz w:val="22"/>
              </w:rPr>
              <w:t>Pre-planned 10b5-1 sale; routine monthly disposition; not discretionary</w:t>
            </w:r>
          </w:p>
        </w:tc>
      </w:tr>
    </w:tbl>
    <w:p>
      <w:r>
        <w:rPr>
          <w:rFonts w:ascii="Calibri" w:hAnsi="Calibri"/>
          <w:i/>
          <w:color w:val="525866"/>
          <w:sz w:val="22"/>
        </w:rPr>
        <w:t>All transactions since Q1 2026 earnings (April 22, 2026) are pre-planned 10b5-1 dispositions by the CEO (Robert Fauber, ~1,467 shares/month) and General Counsel (Richard G. Steele, ~157–158 shares/month). These are mechanical, scheduled sales under pre-established trading plans and carry no informational signal about management's view of the upcoming quarter. No open-market buys or discretionary sales were filed in the period. The absence of any discretionary insider activity is neutral.</w:t>
      </w:r>
    </w:p>
    <w:p>
      <w:r>
        <w:rPr>
          <w:rFonts w:ascii="Calibri" w:hAnsi="Calibri"/>
          <w:i/>
          <w:color w:val="525866"/>
          <w:sz w:val="22"/>
        </w:rPr>
        <w:t>Source: SEC Form 4 Filings (Insider Transaction Data). Transactions filtered for open-market buys (code P) and sales (code S) plus 10b5-1 planned sales, April 22 – July 21, 2026.</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