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Moody's Corporation (MCO)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Moody's Corporation</w:t>
            </w:r>
          </w:p>
        </w:tc>
      </w:tr>
      <w:tr>
        <w:tc>
          <w:tcPr>
            <w:tcW w:type="dxa" w:w="4320"/>
          </w:tcPr>
          <w:p>
            <w:r>
              <w:rPr>
                <w:rFonts w:ascii="Calibri" w:hAnsi="Calibri"/>
                <w:b/>
                <w:sz w:val="22"/>
              </w:rPr>
              <w:t>Ticker</w:t>
            </w:r>
          </w:p>
        </w:tc>
        <w:tc>
          <w:tcPr>
            <w:tcW w:type="dxa" w:w="4320"/>
          </w:tcPr>
          <w:p>
            <w:r>
              <w:rPr>
                <w:rFonts w:ascii="Calibri" w:hAnsi="Calibri"/>
                <w:sz w:val="22"/>
              </w:rPr>
              <w:t>MCO US</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July 22, 2026 — 9:00 AM ET</w:t>
            </w:r>
          </w:p>
        </w:tc>
      </w:tr>
      <w:tr>
        <w:tc>
          <w:tcPr>
            <w:tcW w:type="dxa" w:w="4320"/>
          </w:tcPr>
          <w:p>
            <w:r>
              <w:rPr>
                <w:rFonts w:ascii="Calibri" w:hAnsi="Calibri"/>
                <w:b/>
                <w:sz w:val="22"/>
              </w:rPr>
              <w:t>Prepared</w:t>
            </w:r>
          </w:p>
        </w:tc>
        <w:tc>
          <w:tcPr>
            <w:tcW w:type="dxa" w:w="4320"/>
          </w:tcPr>
          <w:p>
            <w:r>
              <w:rPr>
                <w:rFonts w:ascii="Calibri" w:hAnsi="Calibri"/>
                <w:sz w:val="22"/>
              </w:rPr>
              <w:t>July 21, 2026</w:t>
            </w:r>
          </w:p>
        </w:tc>
      </w:tr>
      <w:tr>
        <w:tc>
          <w:tcPr>
            <w:tcW w:type="dxa" w:w="4320"/>
          </w:tcPr>
          <w:p>
            <w:r>
              <w:rPr>
                <w:rFonts w:ascii="Calibri" w:hAnsi="Calibri"/>
                <w:b/>
                <w:sz w:val="22"/>
              </w:rPr>
              <w:t>Sector ETF (Benchmark)</w:t>
            </w:r>
          </w:p>
        </w:tc>
        <w:tc>
          <w:tcPr>
            <w:tcW w:type="dxa" w:w="4320"/>
          </w:tcPr>
          <w:p>
            <w:r>
              <w:rPr>
                <w:rFonts w:ascii="Calibri" w:hAnsi="Calibri"/>
                <w:sz w:val="22"/>
              </w:rPr>
              <w:t>XLF (Financial Select Sector SPDR)</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Setup is constructive but not easy — consensus has drifted modestly higher since the Q1 print, the bar on MIS revenue is the key swing factor, and the stock has already rallied ~5% since last earnings, leaving limited room for a miss.</w:t>
      </w:r>
    </w:p>
    <w:p>
      <w:r>
        <w:rPr>
          <w:rFonts w:ascii="Calibri" w:hAnsi="Calibri"/>
          <w:color w:val="525866"/>
          <w:sz w:val="22"/>
        </w:rPr>
        <w:t xml:space="preserve">Heading into Q2 2026, the setup for MCO is broadly constructive but nuanced. Management guided for </w:t>
      </w:r>
      <w:r>
        <w:rPr>
          <w:rFonts w:ascii="Calibri" w:hAnsi="Calibri"/>
          <w:b/>
          <w:color w:val="525866"/>
          <w:sz w:val="22"/>
        </w:rPr>
        <w:t>MIS revenue growth in the low-to-mid teens</w:t>
      </w:r>
      <w:r>
        <w:rPr>
          <w:rFonts w:ascii="Calibri" w:hAnsi="Calibri"/>
          <w:color w:val="525866"/>
          <w:sz w:val="22"/>
        </w:rPr>
        <w:t xml:space="preserve"> year-over-year and adjusted diluted EPS of $4.15–$4.30, and consensus has since drifted to ~$4.25 and ~$2.08B in total revenue — sitting comfortably within the guided range, suggesting the bar is achievable but not low. The issuance environment has been supportive: spreads recovered sharply after the April volatility episode, hyperscaler debt issuance remained robust, and private credit-related ratings revenue — which grew 80%+ in Q1 — shows no sign of decelerating, with both S&amp;P Global and MSCI confirming strong private market activity through the quarter. On the MA side, ARR growth of ~8% is expected, with the OneView platform migration and AI-driven enterprise deals providing incremental catalysts in the second half; FactSet's Q3 print (July 1) showed API call volumes up 13x quarter-over-quarter and AI-driven ASV growth 50% above the rest of the book, a strong read-through for MA demand. The stock has recovered ~5% from the April 22 earnings close and trades at ~28x NTM P/E — a meaningful de-rating from the 35x+ seen six months ago — so valuation is less stretched, but the stock is not pricing in a miss. The key wildcard is whether the </w:t>
      </w:r>
      <w:r>
        <w:rPr>
          <w:rFonts w:ascii="Calibri" w:hAnsi="Calibri"/>
          <w:b/>
          <w:color w:val="525866"/>
          <w:sz w:val="22"/>
        </w:rPr>
        <w:t>private equity exit and M&amp;A/leveraged finance cycle</w:t>
      </w:r>
      <w:r>
        <w:rPr>
          <w:rFonts w:ascii="Calibri" w:hAnsi="Calibri"/>
          <w:color w:val="525866"/>
          <w:sz w:val="22"/>
        </w:rPr>
        <w:t xml:space="preserve"> has begun to accelerate: management flagged this as the single largest unpriced upside driver, and any evidence of a pickup in LBO/M&amp;A issuance in Q2 could push MIS revenue above the guided range.</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b/>
          <w:color w:val="525866"/>
          <w:sz w:val="22"/>
        </w:rPr>
        <w:t xml:space="preserve">Consensus sits within management’s guided ranges across all key metrics — the bar is achievable but not low. </w:t>
      </w:r>
      <w:r>
        <w:rPr>
          <w:rFonts w:ascii="Calibri" w:hAnsi="Calibri"/>
          <w:color w:val="525866"/>
          <w:sz w:val="22"/>
        </w:rPr>
        <w:t>MIS revenue is the bigger swing factor given issuance sensitivity; MA ARR is the more predictable, recurring anchor.</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2026 Guidance</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Total Revenue ($M)</w:t>
            </w:r>
          </w:p>
        </w:tc>
        <w:tc>
          <w:tcPr>
            <w:tcW w:type="dxa" w:w="1234"/>
          </w:tcPr>
          <w:p>
            <w:r>
              <w:rPr>
                <w:rFonts w:ascii="Calibri" w:hAnsi="Calibri"/>
                <w:sz w:val="22"/>
              </w:rPr>
              <w:t>$2,079</w:t>
            </w:r>
          </w:p>
        </w:tc>
        <w:tc>
          <w:tcPr>
            <w:tcW w:type="dxa" w:w="1234"/>
          </w:tcPr>
          <w:p>
            <w:r>
              <w:rPr>
                <w:rFonts w:ascii="Calibri" w:hAnsi="Calibri"/>
                <w:sz w:val="22"/>
              </w:rPr>
              <w:t>$1,898</w:t>
            </w:r>
          </w:p>
        </w:tc>
        <w:tc>
          <w:tcPr>
            <w:tcW w:type="dxa" w:w="1234"/>
          </w:tcPr>
          <w:p>
            <w:r>
              <w:rPr>
                <w:rFonts w:ascii="Calibri" w:hAnsi="Calibri"/>
                <w:sz w:val="22"/>
              </w:rPr>
              <w:t>$2,085</w:t>
            </w:r>
          </w:p>
        </w:tc>
        <w:tc>
          <w:tcPr>
            <w:tcW w:type="dxa" w:w="1234"/>
          </w:tcPr>
          <w:p>
            <w:r>
              <w:rPr>
                <w:rFonts w:ascii="Calibri" w:hAnsi="Calibri"/>
                <w:sz w:val="22"/>
              </w:rPr>
              <w:t>+9.8%</w:t>
            </w:r>
          </w:p>
        </w:tc>
        <w:tc>
          <w:tcPr>
            <w:tcW w:type="dxa" w:w="1234"/>
          </w:tcPr>
          <w:p>
            <w:r>
              <w:rPr>
                <w:rFonts w:ascii="Calibri" w:hAnsi="Calibri"/>
                <w:sz w:val="22"/>
              </w:rPr>
              <w:t>High-single-digit % growth (FY)</w:t>
            </w:r>
          </w:p>
        </w:tc>
        <w:tc>
          <w:tcPr>
            <w:tcW w:type="dxa" w:w="1234"/>
          </w:tcPr>
          <w:p>
            <w:r>
              <w:rPr>
                <w:rFonts w:ascii="Calibri" w:hAnsi="Calibri"/>
                <w:sz w:val="22"/>
              </w:rPr>
              <w:t>In line</w:t>
            </w:r>
          </w:p>
        </w:tc>
      </w:tr>
      <w:tr>
        <w:tc>
          <w:tcPr>
            <w:tcW w:type="dxa" w:w="1234"/>
          </w:tcPr>
          <w:p>
            <w:r>
              <w:rPr>
                <w:rFonts w:ascii="Calibri" w:hAnsi="Calibri"/>
                <w:sz w:val="22"/>
              </w:rPr>
              <w:t>MIS Revenue ($M)</w:t>
            </w:r>
          </w:p>
        </w:tc>
        <w:tc>
          <w:tcPr>
            <w:tcW w:type="dxa" w:w="1234"/>
          </w:tcPr>
          <w:p>
            <w:r>
              <w:rPr>
                <w:rFonts w:ascii="Calibri" w:hAnsi="Calibri"/>
                <w:sz w:val="22"/>
              </w:rPr>
              <w:t>$1,204</w:t>
            </w:r>
          </w:p>
        </w:tc>
        <w:tc>
          <w:tcPr>
            <w:tcW w:type="dxa" w:w="1234"/>
          </w:tcPr>
          <w:p>
            <w:r>
              <w:rPr>
                <w:rFonts w:ascii="Calibri" w:hAnsi="Calibri"/>
                <w:sz w:val="22"/>
              </w:rPr>
              <w:t>$1,060</w:t>
            </w:r>
          </w:p>
        </w:tc>
        <w:tc>
          <w:tcPr>
            <w:tcW w:type="dxa" w:w="1234"/>
          </w:tcPr>
          <w:p>
            <w:r>
              <w:rPr>
                <w:rFonts w:ascii="Calibri" w:hAnsi="Calibri"/>
                <w:sz w:val="22"/>
              </w:rPr>
              <w:t>$1,201</w:t>
            </w:r>
          </w:p>
        </w:tc>
        <w:tc>
          <w:tcPr>
            <w:tcW w:type="dxa" w:w="1234"/>
          </w:tcPr>
          <w:p>
            <w:r>
              <w:rPr>
                <w:rFonts w:ascii="Calibri" w:hAnsi="Calibri"/>
                <w:sz w:val="22"/>
              </w:rPr>
              <w:t>+13.3%</w:t>
            </w:r>
          </w:p>
        </w:tc>
        <w:tc>
          <w:tcPr>
            <w:tcW w:type="dxa" w:w="1234"/>
          </w:tcPr>
          <w:p>
            <w:r>
              <w:rPr>
                <w:rFonts w:ascii="Calibri" w:hAnsi="Calibri"/>
                <w:sz w:val="22"/>
              </w:rPr>
              <w:t>Low-to-mid teens % growth (Q2)</w:t>
            </w:r>
          </w:p>
        </w:tc>
        <w:tc>
          <w:tcPr>
            <w:tcW w:type="dxa" w:w="1234"/>
          </w:tcPr>
          <w:p>
            <w:r>
              <w:rPr>
                <w:rFonts w:ascii="Calibri" w:hAnsi="Calibri"/>
                <w:sz w:val="22"/>
              </w:rPr>
              <w:t>In line</w:t>
            </w:r>
          </w:p>
        </w:tc>
      </w:tr>
      <w:tr>
        <w:tc>
          <w:tcPr>
            <w:tcW w:type="dxa" w:w="1234"/>
          </w:tcPr>
          <w:p>
            <w:r>
              <w:rPr>
                <w:rFonts w:ascii="Calibri" w:hAnsi="Calibri"/>
                <w:sz w:val="22"/>
              </w:rPr>
              <w:t>MA Revenue ($M)</w:t>
            </w:r>
          </w:p>
        </w:tc>
        <w:tc>
          <w:tcPr>
            <w:tcW w:type="dxa" w:w="1234"/>
          </w:tcPr>
          <w:p>
            <w:r>
              <w:rPr>
                <w:rFonts w:ascii="Calibri" w:hAnsi="Calibri"/>
                <w:sz w:val="22"/>
              </w:rPr>
              <w:t>$929</w:t>
            </w:r>
          </w:p>
        </w:tc>
        <w:tc>
          <w:tcPr>
            <w:tcW w:type="dxa" w:w="1234"/>
          </w:tcPr>
          <w:p>
            <w:r>
              <w:rPr>
                <w:rFonts w:ascii="Calibri" w:hAnsi="Calibri"/>
                <w:sz w:val="22"/>
              </w:rPr>
              <w:t>$891</w:t>
            </w:r>
          </w:p>
        </w:tc>
        <w:tc>
          <w:tcPr>
            <w:tcW w:type="dxa" w:w="1234"/>
          </w:tcPr>
          <w:p>
            <w:r>
              <w:rPr>
                <w:rFonts w:ascii="Calibri" w:hAnsi="Calibri"/>
                <w:sz w:val="22"/>
              </w:rPr>
              <w:t>$933</w:t>
            </w:r>
          </w:p>
        </w:tc>
        <w:tc>
          <w:tcPr>
            <w:tcW w:type="dxa" w:w="1234"/>
          </w:tcPr>
          <w:p>
            <w:r>
              <w:rPr>
                <w:rFonts w:ascii="Calibri" w:hAnsi="Calibri"/>
                <w:sz w:val="22"/>
              </w:rPr>
              <w:t>+4.7%</w:t>
            </w:r>
          </w:p>
        </w:tc>
        <w:tc>
          <w:tcPr>
            <w:tcW w:type="dxa" w:w="1234"/>
          </w:tcPr>
          <w:p>
            <w:r>
              <w:rPr>
                <w:rFonts w:ascii="Calibri" w:hAnsi="Calibri"/>
                <w:sz w:val="22"/>
              </w:rPr>
              <w:t>Mid-single-digit % growth (FY)</w:t>
            </w:r>
          </w:p>
        </w:tc>
        <w:tc>
          <w:tcPr>
            <w:tcW w:type="dxa" w:w="1234"/>
          </w:tcPr>
          <w:p>
            <w:r>
              <w:rPr>
                <w:rFonts w:ascii="Calibri" w:hAnsi="Calibri"/>
                <w:sz w:val="22"/>
              </w:rPr>
              <w:t>In line</w:t>
            </w:r>
          </w:p>
        </w:tc>
      </w:tr>
      <w:tr>
        <w:tc>
          <w:tcPr>
            <w:tcW w:type="dxa" w:w="1234"/>
          </w:tcPr>
          <w:p>
            <w:r>
              <w:rPr>
                <w:rFonts w:ascii="Calibri" w:hAnsi="Calibri"/>
                <w:sz w:val="22"/>
              </w:rPr>
              <w:t>MA ARR ($B)</w:t>
            </w:r>
          </w:p>
        </w:tc>
        <w:tc>
          <w:tcPr>
            <w:tcW w:type="dxa" w:w="1234"/>
          </w:tcPr>
          <w:p>
            <w:r>
              <w:rPr>
                <w:rFonts w:ascii="Calibri" w:hAnsi="Calibri"/>
                <w:sz w:val="22"/>
              </w:rPr>
              <w:t>$3.607</w:t>
            </w:r>
          </w:p>
        </w:tc>
        <w:tc>
          <w:tcPr>
            <w:tcW w:type="dxa" w:w="1234"/>
          </w:tcPr>
          <w:p>
            <w:r>
              <w:rPr>
                <w:rFonts w:ascii="Calibri" w:hAnsi="Calibri"/>
                <w:sz w:val="22"/>
              </w:rPr>
              <w:t>$3.297</w:t>
            </w:r>
          </w:p>
        </w:tc>
        <w:tc>
          <w:tcPr>
            <w:tcW w:type="dxa" w:w="1234"/>
          </w:tcPr>
          <w:p>
            <w:r>
              <w:rPr>
                <w:rFonts w:ascii="Calibri" w:hAnsi="Calibri"/>
                <w:sz w:val="22"/>
              </w:rPr>
              <w:t>$3.592</w:t>
            </w:r>
          </w:p>
        </w:tc>
        <w:tc>
          <w:tcPr>
            <w:tcW w:type="dxa" w:w="1234"/>
          </w:tcPr>
          <w:p>
            <w:r>
              <w:rPr>
                <w:rFonts w:ascii="Calibri" w:hAnsi="Calibri"/>
                <w:sz w:val="22"/>
              </w:rPr>
              <w:t>+9.0%</w:t>
            </w:r>
          </w:p>
        </w:tc>
        <w:tc>
          <w:tcPr>
            <w:tcW w:type="dxa" w:w="1234"/>
          </w:tcPr>
          <w:p>
            <w:r>
              <w:rPr>
                <w:rFonts w:ascii="Calibri" w:hAnsi="Calibri"/>
                <w:sz w:val="22"/>
              </w:rPr>
              <w:t>High-single-digit % growth (FY)</w:t>
            </w:r>
          </w:p>
        </w:tc>
        <w:tc>
          <w:tcPr>
            <w:tcW w:type="dxa" w:w="1234"/>
          </w:tcPr>
          <w:p>
            <w:r>
              <w:rPr>
                <w:rFonts w:ascii="Calibri" w:hAnsi="Calibri"/>
                <w:sz w:val="22"/>
              </w:rPr>
              <w:t>In line</w:t>
            </w:r>
          </w:p>
        </w:tc>
      </w:tr>
      <w:tr>
        <w:tc>
          <w:tcPr>
            <w:tcW w:type="dxa" w:w="1234"/>
          </w:tcPr>
          <w:p>
            <w:r>
              <w:rPr>
                <w:rFonts w:ascii="Calibri" w:hAnsi="Calibri"/>
                <w:sz w:val="22"/>
              </w:rPr>
              <w:t>Adj. Operating EPS ($)</w:t>
            </w:r>
          </w:p>
        </w:tc>
        <w:tc>
          <w:tcPr>
            <w:tcW w:type="dxa" w:w="1234"/>
          </w:tcPr>
          <w:p>
            <w:r>
              <w:rPr>
                <w:rFonts w:ascii="Calibri" w:hAnsi="Calibri"/>
                <w:sz w:val="22"/>
              </w:rPr>
              <w:t>$4.33</w:t>
            </w:r>
          </w:p>
        </w:tc>
        <w:tc>
          <w:tcPr>
            <w:tcW w:type="dxa" w:w="1234"/>
          </w:tcPr>
          <w:p>
            <w:r>
              <w:rPr>
                <w:rFonts w:ascii="Calibri" w:hAnsi="Calibri"/>
                <w:sz w:val="22"/>
              </w:rPr>
              <w:t>$3.56</w:t>
            </w:r>
          </w:p>
        </w:tc>
        <w:tc>
          <w:tcPr>
            <w:tcW w:type="dxa" w:w="1234"/>
          </w:tcPr>
          <w:p>
            <w:r>
              <w:rPr>
                <w:rFonts w:ascii="Calibri" w:hAnsi="Calibri"/>
                <w:sz w:val="22"/>
              </w:rPr>
              <w:t>$4.25</w:t>
            </w:r>
          </w:p>
        </w:tc>
        <w:tc>
          <w:tcPr>
            <w:tcW w:type="dxa" w:w="1234"/>
          </w:tcPr>
          <w:p>
            <w:r>
              <w:rPr>
                <w:rFonts w:ascii="Calibri" w:hAnsi="Calibri"/>
                <w:sz w:val="22"/>
              </w:rPr>
              <w:t>+19.4%</w:t>
            </w:r>
          </w:p>
        </w:tc>
        <w:tc>
          <w:tcPr>
            <w:tcW w:type="dxa" w:w="1234"/>
          </w:tcPr>
          <w:p>
            <w:r>
              <w:rPr>
                <w:rFonts w:ascii="Calibri" w:hAnsi="Calibri"/>
                <w:sz w:val="22"/>
              </w:rPr>
              <w:t>$4.15–$4.30 (midpoint $4.225)</w:t>
            </w:r>
          </w:p>
        </w:tc>
        <w:tc>
          <w:tcPr>
            <w:tcW w:type="dxa" w:w="1234"/>
          </w:tcPr>
          <w:p>
            <w:r>
              <w:rPr>
                <w:rFonts w:ascii="Calibri" w:hAnsi="Calibri"/>
                <w:sz w:val="22"/>
              </w:rPr>
              <w:t>+0.6% above midpoint</w:t>
            </w:r>
          </w:p>
        </w:tc>
      </w:tr>
      <w:tr>
        <w:tc>
          <w:tcPr>
            <w:tcW w:type="dxa" w:w="1234"/>
          </w:tcPr>
          <w:p>
            <w:r>
              <w:rPr>
                <w:rFonts w:ascii="Calibri" w:hAnsi="Calibri"/>
                <w:sz w:val="22"/>
              </w:rPr>
              <w:t>Adj. Operating Income ($M)</w:t>
            </w:r>
          </w:p>
        </w:tc>
        <w:tc>
          <w:tcPr>
            <w:tcW w:type="dxa" w:w="1234"/>
          </w:tcPr>
          <w:p>
            <w:r>
              <w:rPr>
                <w:rFonts w:ascii="Calibri" w:hAnsi="Calibri"/>
                <w:sz w:val="22"/>
              </w:rPr>
              <w:t>$983</w:t>
            </w:r>
          </w:p>
        </w:tc>
        <w:tc>
          <w:tcPr>
            <w:tcW w:type="dxa" w:w="1234"/>
          </w:tcPr>
          <w:p>
            <w:r>
              <w:rPr>
                <w:rFonts w:ascii="Calibri" w:hAnsi="Calibri"/>
                <w:sz w:val="22"/>
              </w:rPr>
              <w:t>$846</w:t>
            </w:r>
          </w:p>
        </w:tc>
        <w:tc>
          <w:tcPr>
            <w:tcW w:type="dxa" w:w="1234"/>
          </w:tcPr>
          <w:p>
            <w:r>
              <w:rPr>
                <w:rFonts w:ascii="Calibri" w:hAnsi="Calibri"/>
                <w:sz w:val="22"/>
              </w:rPr>
              <w:t>$980</w:t>
            </w:r>
          </w:p>
        </w:tc>
        <w:tc>
          <w:tcPr>
            <w:tcW w:type="dxa" w:w="1234"/>
          </w:tcPr>
          <w:p>
            <w:r>
              <w:rPr>
                <w:rFonts w:ascii="Calibri" w:hAnsi="Calibri"/>
                <w:sz w:val="22"/>
              </w:rPr>
              <w:t>+15.8%</w:t>
            </w:r>
          </w:p>
        </w:tc>
        <w:tc>
          <w:tcPr>
            <w:tcW w:type="dxa" w:w="1234"/>
          </w:tcPr>
          <w:p>
            <w:r>
              <w:rPr>
                <w:rFonts w:ascii="Calibri" w:hAnsi="Calibri"/>
                <w:sz w:val="22"/>
              </w:rPr>
              <w:t>MCO adj. margin 52%–53% (FY)</w:t>
            </w:r>
          </w:p>
        </w:tc>
        <w:tc>
          <w:tcPr>
            <w:tcW w:type="dxa" w:w="1234"/>
          </w:tcPr>
          <w:p>
            <w:r>
              <w:rPr>
                <w:rFonts w:ascii="Calibri" w:hAnsi="Calibri"/>
                <w:sz w:val="22"/>
              </w:rPr>
              <w:t>In line</w:t>
            </w:r>
          </w:p>
        </w:tc>
      </w:tr>
    </w:tbl>
    <w:p>
      <w:r>
        <w:rPr>
          <w:rFonts w:ascii="Calibri" w:hAnsi="Calibri"/>
          <w:color w:val="525866"/>
          <w:sz w:val="22"/>
        </w:rPr>
        <w:t>Sources: Visible Alpha Consensus and Actuals Data; MCO Q1 2026 Earnings Release (April 22, 2026). Consensus estimates as of July 21, 2026.</w:t>
      </w:r>
    </w:p>
    <w:p>
      <w:pPr>
        <w:pStyle w:val="Heading3"/>
      </w:pPr>
      <w:r>
        <w:rPr>
          <w:rFonts w:ascii="Calibri" w:hAnsi="Calibri"/>
          <w:b/>
          <w:color w:val="3B4259"/>
          <w:sz w:val="24"/>
        </w:rPr>
        <w:t>Table 2 — Beat/Miss History: Adj. Operating EPS (Last 8 Quarters)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$3.28</w:t>
            </w:r>
          </w:p>
        </w:tc>
        <w:tc>
          <w:tcPr>
            <w:tcW w:type="dxa" w:w="1728"/>
          </w:tcPr>
          <w:p>
            <w:r>
              <w:rPr>
                <w:rFonts w:ascii="Calibri" w:hAnsi="Calibri"/>
                <w:sz w:val="22"/>
              </w:rPr>
              <w:t>$3.05</w:t>
            </w:r>
          </w:p>
        </w:tc>
        <w:tc>
          <w:tcPr>
            <w:tcW w:type="dxa" w:w="1728"/>
          </w:tcPr>
          <w:p>
            <w:r>
              <w:rPr>
                <w:rFonts w:ascii="Calibri" w:hAnsi="Calibri"/>
                <w:b/>
                <w:color w:val="30A46C"/>
                <w:sz w:val="22"/>
              </w:rPr>
              <w:t>+7.5%</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$3.21</w:t>
            </w:r>
          </w:p>
        </w:tc>
        <w:tc>
          <w:tcPr>
            <w:tcW w:type="dxa" w:w="1728"/>
          </w:tcPr>
          <w:p>
            <w:r>
              <w:rPr>
                <w:rFonts w:ascii="Calibri" w:hAnsi="Calibri"/>
                <w:sz w:val="22"/>
              </w:rPr>
              <w:t>$2.91</w:t>
            </w:r>
          </w:p>
        </w:tc>
        <w:tc>
          <w:tcPr>
            <w:tcW w:type="dxa" w:w="1728"/>
          </w:tcPr>
          <w:p>
            <w:r>
              <w:rPr>
                <w:rFonts w:ascii="Calibri" w:hAnsi="Calibri"/>
                <w:b/>
                <w:color w:val="30A46C"/>
                <w:sz w:val="22"/>
              </w:rPr>
              <w:t>+10.3%</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$2.62</w:t>
            </w:r>
          </w:p>
        </w:tc>
        <w:tc>
          <w:tcPr>
            <w:tcW w:type="dxa" w:w="1728"/>
          </w:tcPr>
          <w:p>
            <w:r>
              <w:rPr>
                <w:rFonts w:ascii="Calibri" w:hAnsi="Calibri"/>
                <w:sz w:val="22"/>
              </w:rPr>
              <w:t>$2.59</w:t>
            </w:r>
          </w:p>
        </w:tc>
        <w:tc>
          <w:tcPr>
            <w:tcW w:type="dxa" w:w="1728"/>
          </w:tcPr>
          <w:p>
            <w:r>
              <w:rPr>
                <w:rFonts w:ascii="Calibri" w:hAnsi="Calibri"/>
                <w:b/>
                <w:color w:val="30A46C"/>
                <w:sz w:val="22"/>
              </w:rPr>
              <w:t>+1.2%</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$3.83</w:t>
            </w:r>
          </w:p>
        </w:tc>
        <w:tc>
          <w:tcPr>
            <w:tcW w:type="dxa" w:w="1728"/>
          </w:tcPr>
          <w:p>
            <w:r>
              <w:rPr>
                <w:rFonts w:ascii="Calibri" w:hAnsi="Calibri"/>
                <w:sz w:val="22"/>
              </w:rPr>
              <w:t>$3.54</w:t>
            </w:r>
          </w:p>
        </w:tc>
        <w:tc>
          <w:tcPr>
            <w:tcW w:type="dxa" w:w="1728"/>
          </w:tcPr>
          <w:p>
            <w:r>
              <w:rPr>
                <w:rFonts w:ascii="Calibri" w:hAnsi="Calibri"/>
                <w:b/>
                <w:color w:val="30A46C"/>
                <w:sz w:val="22"/>
              </w:rPr>
              <w:t>+8.2%</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$3.56</w:t>
            </w:r>
          </w:p>
        </w:tc>
        <w:tc>
          <w:tcPr>
            <w:tcW w:type="dxa" w:w="1728"/>
          </w:tcPr>
          <w:p>
            <w:r>
              <w:rPr>
                <w:rFonts w:ascii="Calibri" w:hAnsi="Calibri"/>
                <w:sz w:val="22"/>
              </w:rPr>
              <w:t>$3.38</w:t>
            </w:r>
          </w:p>
        </w:tc>
        <w:tc>
          <w:tcPr>
            <w:tcW w:type="dxa" w:w="1728"/>
          </w:tcPr>
          <w:p>
            <w:r>
              <w:rPr>
                <w:rFonts w:ascii="Calibri" w:hAnsi="Calibri"/>
                <w:b/>
                <w:color w:val="30A46C"/>
                <w:sz w:val="22"/>
              </w:rPr>
              <w:t>+5.3%</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$3.92</w:t>
            </w:r>
          </w:p>
        </w:tc>
        <w:tc>
          <w:tcPr>
            <w:tcW w:type="dxa" w:w="1728"/>
          </w:tcPr>
          <w:p>
            <w:r>
              <w:rPr>
                <w:rFonts w:ascii="Calibri" w:hAnsi="Calibri"/>
                <w:sz w:val="22"/>
              </w:rPr>
              <w:t>$3.67</w:t>
            </w:r>
          </w:p>
        </w:tc>
        <w:tc>
          <w:tcPr>
            <w:tcW w:type="dxa" w:w="1728"/>
          </w:tcPr>
          <w:p>
            <w:r>
              <w:rPr>
                <w:rFonts w:ascii="Calibri" w:hAnsi="Calibri"/>
                <w:b/>
                <w:color w:val="30A46C"/>
                <w:sz w:val="22"/>
              </w:rPr>
              <w:t>+6.8%</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$3.64</w:t>
            </w:r>
          </w:p>
        </w:tc>
        <w:tc>
          <w:tcPr>
            <w:tcW w:type="dxa" w:w="1728"/>
          </w:tcPr>
          <w:p>
            <w:r>
              <w:rPr>
                <w:rFonts w:ascii="Calibri" w:hAnsi="Calibri"/>
                <w:sz w:val="22"/>
              </w:rPr>
              <w:t>$3.41</w:t>
            </w:r>
          </w:p>
        </w:tc>
        <w:tc>
          <w:tcPr>
            <w:tcW w:type="dxa" w:w="1728"/>
          </w:tcPr>
          <w:p>
            <w:r>
              <w:rPr>
                <w:rFonts w:ascii="Calibri" w:hAnsi="Calibri"/>
                <w:b/>
                <w:color w:val="30A46C"/>
                <w:sz w:val="22"/>
              </w:rPr>
              <w:t>+6.7%</w:t>
            </w:r>
          </w:p>
        </w:tc>
        <w:tc>
          <w:tcPr>
            <w:tcW w:type="dxa" w:w="1728"/>
          </w:tcPr>
          <w:p>
            <w:r>
              <w:rPr>
                <w:rFonts w:ascii="Calibri" w:hAnsi="Calibri"/>
                <w:b/>
                <w:color w:val="30A46C"/>
                <w:sz w:val="22"/>
              </w:rPr>
              <w:t>Beat</w:t>
            </w:r>
          </w:p>
        </w:tc>
      </w:tr>
      <w:tr>
        <w:tc>
          <w:tcPr>
            <w:tcW w:type="dxa" w:w="1728"/>
          </w:tcPr>
          <w:p>
            <w:r>
              <w:rPr>
                <w:rFonts w:ascii="Calibri" w:hAnsi="Calibri"/>
                <w:sz w:val="22"/>
              </w:rPr>
              <w:t>Q1 2026</w:t>
            </w:r>
          </w:p>
        </w:tc>
        <w:tc>
          <w:tcPr>
            <w:tcW w:type="dxa" w:w="1728"/>
          </w:tcPr>
          <w:p>
            <w:r>
              <w:rPr>
                <w:rFonts w:ascii="Calibri" w:hAnsi="Calibri"/>
                <w:sz w:val="22"/>
              </w:rPr>
              <w:t>$4.33</w:t>
            </w:r>
          </w:p>
        </w:tc>
        <w:tc>
          <w:tcPr>
            <w:tcW w:type="dxa" w:w="1728"/>
          </w:tcPr>
          <w:p>
            <w:r>
              <w:rPr>
                <w:rFonts w:ascii="Calibri" w:hAnsi="Calibri"/>
                <w:sz w:val="22"/>
              </w:rPr>
              <w:t>$4.20</w:t>
            </w:r>
          </w:p>
        </w:tc>
        <w:tc>
          <w:tcPr>
            <w:tcW w:type="dxa" w:w="1728"/>
          </w:tcPr>
          <w:p>
            <w:r>
              <w:rPr>
                <w:rFonts w:ascii="Calibri" w:hAnsi="Calibri"/>
                <w:b/>
                <w:color w:val="30A46C"/>
                <w:sz w:val="22"/>
              </w:rPr>
              <w:t>+3.1%</w:t>
            </w:r>
          </w:p>
        </w:tc>
        <w:tc>
          <w:tcPr>
            <w:tcW w:type="dxa" w:w="1728"/>
          </w:tcPr>
          <w:p>
            <w:r>
              <w:rPr>
                <w:rFonts w:ascii="Calibri" w:hAnsi="Calibri"/>
                <w:b/>
                <w:color w:val="30A46C"/>
                <w:sz w:val="22"/>
              </w:rPr>
              <w:t>Beat</w:t>
            </w:r>
          </w:p>
        </w:tc>
      </w:tr>
    </w:tbl>
    <w:p>
      <w:r>
        <w:rPr>
          <w:rFonts w:ascii="Calibri" w:hAnsi="Calibri"/>
          <w:i/>
          <w:color w:val="525866"/>
          <w:sz w:val="22"/>
        </w:rPr>
        <w:t>MCO has beaten adjusted operating EPS consensus in all 8 of the last 8 quarters, with an average surprise of ~6.2% — a consistent pattern of conservative guidance and strong execution that sets a high implicit bar for Q2 2026.</w:t>
      </w:r>
    </w:p>
    <w:p>
      <w:r>
        <w:rPr>
          <w:rFonts w:ascii="Calibri" w:hAnsi="Calibri"/>
          <w:color w:val="525866"/>
          <w:sz w:val="22"/>
        </w:rPr>
        <w:t>Source: Visible Alpha Consensus and Actuals Data.</w:t>
      </w:r>
    </w:p>
    <w:p>
      <w:pPr>
        <w:pStyle w:val="Heading3"/>
      </w:pPr>
      <w:r>
        <w:rPr>
          <w:rFonts w:ascii="Calibri" w:hAnsi="Calibri"/>
          <w:b/>
          <w:color w:val="3B4259"/>
          <w:sz w:val="24"/>
        </w:rPr>
        <w:t>Table 3 — Beat/Miss History: MIS Revenue (Last 8 Quarters)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($M)</w:t>
            </w:r>
          </w:p>
        </w:tc>
        <w:tc>
          <w:tcPr>
            <w:tcW w:type="dxa" w:w="1728"/>
            <w:shd w:val="clear" w:color="auto" w:fill="3B4259"/>
          </w:tcPr>
          <w:p>
            <w:r>
              <w:rPr>
                <w:rFonts w:ascii="Calibri" w:hAnsi="Calibri"/>
                <w:b/>
                <w:color w:val="FFFFFF"/>
                <w:sz w:val="22"/>
              </w:rPr>
              <w:t>Consensus ($M)</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$1,064</w:t>
            </w:r>
          </w:p>
        </w:tc>
        <w:tc>
          <w:tcPr>
            <w:tcW w:type="dxa" w:w="1728"/>
          </w:tcPr>
          <w:p>
            <w:r>
              <w:rPr>
                <w:rFonts w:ascii="Calibri" w:hAnsi="Calibri"/>
                <w:sz w:val="22"/>
              </w:rPr>
              <w:t>$964</w:t>
            </w:r>
          </w:p>
        </w:tc>
        <w:tc>
          <w:tcPr>
            <w:tcW w:type="dxa" w:w="1728"/>
          </w:tcPr>
          <w:p>
            <w:r>
              <w:rPr>
                <w:rFonts w:ascii="Calibri" w:hAnsi="Calibri"/>
                <w:b/>
                <w:color w:val="30A46C"/>
                <w:sz w:val="22"/>
              </w:rPr>
              <w:t>+10.4%</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$1,030</w:t>
            </w:r>
          </w:p>
        </w:tc>
        <w:tc>
          <w:tcPr>
            <w:tcW w:type="dxa" w:w="1728"/>
          </w:tcPr>
          <w:p>
            <w:r>
              <w:rPr>
                <w:rFonts w:ascii="Calibri" w:hAnsi="Calibri"/>
                <w:sz w:val="22"/>
              </w:rPr>
              <w:t>$931</w:t>
            </w:r>
          </w:p>
        </w:tc>
        <w:tc>
          <w:tcPr>
            <w:tcW w:type="dxa" w:w="1728"/>
          </w:tcPr>
          <w:p>
            <w:r>
              <w:rPr>
                <w:rFonts w:ascii="Calibri" w:hAnsi="Calibri"/>
                <w:b/>
                <w:color w:val="30A46C"/>
                <w:sz w:val="22"/>
              </w:rPr>
              <w:t>+10.6%</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$858</w:t>
            </w:r>
          </w:p>
        </w:tc>
        <w:tc>
          <w:tcPr>
            <w:tcW w:type="dxa" w:w="1728"/>
          </w:tcPr>
          <w:p>
            <w:r>
              <w:rPr>
                <w:rFonts w:ascii="Calibri" w:hAnsi="Calibri"/>
                <w:sz w:val="22"/>
              </w:rPr>
              <w:t>$889</w:t>
            </w:r>
          </w:p>
        </w:tc>
        <w:tc>
          <w:tcPr>
            <w:tcW w:type="dxa" w:w="1728"/>
          </w:tcPr>
          <w:p>
            <w:r>
              <w:rPr>
                <w:rFonts w:ascii="Calibri" w:hAnsi="Calibri"/>
                <w:b/>
                <w:color w:val="E5484D"/>
                <w:sz w:val="22"/>
              </w:rPr>
              <w:t>−3.5%</w:t>
            </w:r>
          </w:p>
        </w:tc>
        <w:tc>
          <w:tcPr>
            <w:tcW w:type="dxa" w:w="1728"/>
          </w:tcPr>
          <w:p>
            <w:r>
              <w:rPr>
                <w:rFonts w:ascii="Calibri" w:hAnsi="Calibri"/>
                <w:b/>
                <w:color w:val="E5484D"/>
                <w:sz w:val="22"/>
              </w:rPr>
              <w:t>Miss</w:t>
            </w:r>
          </w:p>
        </w:tc>
      </w:tr>
      <w:tr>
        <w:tc>
          <w:tcPr>
            <w:tcW w:type="dxa" w:w="1728"/>
          </w:tcPr>
          <w:p>
            <w:r>
              <w:rPr>
                <w:rFonts w:ascii="Calibri" w:hAnsi="Calibri"/>
                <w:sz w:val="22"/>
              </w:rPr>
              <w:t>Q1 2025</w:t>
            </w:r>
          </w:p>
        </w:tc>
        <w:tc>
          <w:tcPr>
            <w:tcW w:type="dxa" w:w="1728"/>
          </w:tcPr>
          <w:p>
            <w:r>
              <w:rPr>
                <w:rFonts w:ascii="Calibri" w:hAnsi="Calibri"/>
                <w:sz w:val="22"/>
              </w:rPr>
              <w:t>$1,114</w:t>
            </w:r>
          </w:p>
        </w:tc>
        <w:tc>
          <w:tcPr>
            <w:tcW w:type="dxa" w:w="1728"/>
          </w:tcPr>
          <w:p>
            <w:r>
              <w:rPr>
                <w:rFonts w:ascii="Calibri" w:hAnsi="Calibri"/>
                <w:sz w:val="22"/>
              </w:rPr>
              <w:t>$1,059</w:t>
            </w:r>
          </w:p>
        </w:tc>
        <w:tc>
          <w:tcPr>
            <w:tcW w:type="dxa" w:w="1728"/>
          </w:tcPr>
          <w:p>
            <w:r>
              <w:rPr>
                <w:rFonts w:ascii="Calibri" w:hAnsi="Calibri"/>
                <w:b/>
                <w:color w:val="30A46C"/>
                <w:sz w:val="22"/>
              </w:rPr>
              <w:t>+5.2%</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$1,060</w:t>
            </w:r>
          </w:p>
        </w:tc>
        <w:tc>
          <w:tcPr>
            <w:tcW w:type="dxa" w:w="1728"/>
          </w:tcPr>
          <w:p>
            <w:r>
              <w:rPr>
                <w:rFonts w:ascii="Calibri" w:hAnsi="Calibri"/>
                <w:sz w:val="22"/>
              </w:rPr>
              <w:t>$1,020</w:t>
            </w:r>
          </w:p>
        </w:tc>
        <w:tc>
          <w:tcPr>
            <w:tcW w:type="dxa" w:w="1728"/>
          </w:tcPr>
          <w:p>
            <w:r>
              <w:rPr>
                <w:rFonts w:ascii="Calibri" w:hAnsi="Calibri"/>
                <w:b/>
                <w:color w:val="30A46C"/>
                <w:sz w:val="22"/>
              </w:rPr>
              <w:t>+3.9%</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$1,148</w:t>
            </w:r>
          </w:p>
        </w:tc>
        <w:tc>
          <w:tcPr>
            <w:tcW w:type="dxa" w:w="1728"/>
          </w:tcPr>
          <w:p>
            <w:r>
              <w:rPr>
                <w:rFonts w:ascii="Calibri" w:hAnsi="Calibri"/>
                <w:sz w:val="22"/>
              </w:rPr>
              <w:t>$1,093</w:t>
            </w:r>
          </w:p>
        </w:tc>
        <w:tc>
          <w:tcPr>
            <w:tcW w:type="dxa" w:w="1728"/>
          </w:tcPr>
          <w:p>
            <w:r>
              <w:rPr>
                <w:rFonts w:ascii="Calibri" w:hAnsi="Calibri"/>
                <w:b/>
                <w:color w:val="30A46C"/>
                <w:sz w:val="22"/>
              </w:rPr>
              <w:t>+5.0%</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$995</w:t>
            </w:r>
          </w:p>
        </w:tc>
        <w:tc>
          <w:tcPr>
            <w:tcW w:type="dxa" w:w="1728"/>
          </w:tcPr>
          <w:p>
            <w:r>
              <w:rPr>
                <w:rFonts w:ascii="Calibri" w:hAnsi="Calibri"/>
                <w:sz w:val="22"/>
              </w:rPr>
              <w:t>$969</w:t>
            </w:r>
          </w:p>
        </w:tc>
        <w:tc>
          <w:tcPr>
            <w:tcW w:type="dxa" w:w="1728"/>
          </w:tcPr>
          <w:p>
            <w:r>
              <w:rPr>
                <w:rFonts w:ascii="Calibri" w:hAnsi="Calibri"/>
                <w:b/>
                <w:color w:val="30A46C"/>
                <w:sz w:val="22"/>
              </w:rPr>
              <w:t>+2.7%</w:t>
            </w:r>
          </w:p>
        </w:tc>
        <w:tc>
          <w:tcPr>
            <w:tcW w:type="dxa" w:w="1728"/>
          </w:tcPr>
          <w:p>
            <w:r>
              <w:rPr>
                <w:rFonts w:ascii="Calibri" w:hAnsi="Calibri"/>
                <w:b/>
                <w:color w:val="30A46C"/>
                <w:sz w:val="22"/>
              </w:rPr>
              <w:t>Beat</w:t>
            </w:r>
          </w:p>
        </w:tc>
      </w:tr>
      <w:tr>
        <w:tc>
          <w:tcPr>
            <w:tcW w:type="dxa" w:w="1728"/>
          </w:tcPr>
          <w:p>
            <w:r>
              <w:rPr>
                <w:rFonts w:ascii="Calibri" w:hAnsi="Calibri"/>
                <w:sz w:val="22"/>
              </w:rPr>
              <w:t>Q1 2026</w:t>
            </w:r>
          </w:p>
        </w:tc>
        <w:tc>
          <w:tcPr>
            <w:tcW w:type="dxa" w:w="1728"/>
          </w:tcPr>
          <w:p>
            <w:r>
              <w:rPr>
                <w:rFonts w:ascii="Calibri" w:hAnsi="Calibri"/>
                <w:sz w:val="22"/>
              </w:rPr>
              <w:t>$1,204</w:t>
            </w:r>
          </w:p>
        </w:tc>
        <w:tc>
          <w:tcPr>
            <w:tcW w:type="dxa" w:w="1728"/>
          </w:tcPr>
          <w:p>
            <w:r>
              <w:rPr>
                <w:rFonts w:ascii="Calibri" w:hAnsi="Calibri"/>
                <w:sz w:val="22"/>
              </w:rPr>
              <w:t>$1,192</w:t>
            </w:r>
          </w:p>
        </w:tc>
        <w:tc>
          <w:tcPr>
            <w:tcW w:type="dxa" w:w="1728"/>
          </w:tcPr>
          <w:p>
            <w:r>
              <w:rPr>
                <w:rFonts w:ascii="Calibri" w:hAnsi="Calibri"/>
                <w:b/>
                <w:color w:val="30A46C"/>
                <w:sz w:val="22"/>
              </w:rPr>
              <w:t>+1.0%</w:t>
            </w:r>
          </w:p>
        </w:tc>
        <w:tc>
          <w:tcPr>
            <w:tcW w:type="dxa" w:w="1728"/>
          </w:tcPr>
          <w:p>
            <w:r>
              <w:rPr>
                <w:rFonts w:ascii="Calibri" w:hAnsi="Calibri"/>
                <w:b/>
                <w:color w:val="30A46C"/>
                <w:sz w:val="22"/>
              </w:rPr>
              <w:t>Beat</w:t>
            </w:r>
          </w:p>
        </w:tc>
      </w:tr>
    </w:tbl>
    <w:p>
      <w:r>
        <w:rPr>
          <w:rFonts w:ascii="Calibri" w:hAnsi="Calibri"/>
          <w:i/>
          <w:color w:val="525866"/>
          <w:sz w:val="22"/>
        </w:rPr>
        <w:t>MIS revenue has beaten consensus in 7 of the last 8 quarters (the Q4 2024 miss was driven by seasonally weak issuance). The average beat in the 7 positive quarters was ~5.5%, though the beat magnitude has compressed as consensus has become more calibrated to the strong issuance cycle.</w:t>
      </w:r>
    </w:p>
    <w:p>
      <w:r>
        <w:rPr>
          <w:rFonts w:ascii="Calibri" w:hAnsi="Calibr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b/>
          <w:color w:val="525866"/>
          <w:sz w:val="22"/>
        </w:rPr>
        <w:t xml:space="preserve">Full-year guidance was reaffirmed unchanged at Q1 earnings and again at the Bernstein conference (May 28). </w:t>
      </w:r>
      <w:r>
        <w:rPr>
          <w:rFonts w:ascii="Calibri" w:hAnsi="Calibri"/>
          <w:color w:val="525866"/>
          <w:sz w:val="22"/>
        </w:rPr>
        <w:t>No post-earnings guidance revisions have been issued; management tone has remained constructive, citing recovering spreads and a healthy issuance pipeline.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 April 22,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MCO Revenue Growth (FY)</w:t>
            </w:r>
          </w:p>
        </w:tc>
        <w:tc>
          <w:tcPr>
            <w:tcW w:type="dxa" w:w="1728"/>
          </w:tcPr>
          <w:p>
            <w:r>
              <w:rPr>
                <w:rFonts w:ascii="Calibri" w:hAnsi="Calibri"/>
                <w:sz w:val="22"/>
              </w:rPr>
              <w:t>High-single-digit % (towards lower end)</w:t>
            </w:r>
          </w:p>
        </w:tc>
        <w:tc>
          <w:tcPr>
            <w:tcW w:type="dxa" w:w="1728"/>
          </w:tcPr>
          <w:p>
            <w:r>
              <w:rPr>
                <w:rFonts w:ascii="Calibri" w:hAnsi="Calibri"/>
                <w:sz w:val="22"/>
              </w:rPr>
              <w:t>—</w:t>
            </w:r>
          </w:p>
        </w:tc>
        <w:tc>
          <w:tcPr>
            <w:tcW w:type="dxa" w:w="1728"/>
          </w:tcPr>
          <w:p>
            <w:r>
              <w:rPr>
                <w:rFonts w:ascii="Calibri" w:hAnsi="Calibri"/>
                <w:sz w:val="22"/>
              </w:rPr>
              <w:t>~+8.5% YoY ($8.26B)</w:t>
            </w:r>
          </w:p>
        </w:tc>
        <w:tc>
          <w:tcPr>
            <w:tcW w:type="dxa" w:w="1728"/>
          </w:tcPr>
          <w:p>
            <w:r>
              <w:rPr>
                <w:rFonts w:ascii="Calibri" w:hAnsi="Calibri"/>
                <w:sz w:val="22"/>
              </w:rPr>
              <w:t>Unchanged; reaffirmed at Bernstein conference May 28, 2026</w:t>
            </w:r>
          </w:p>
        </w:tc>
      </w:tr>
      <w:tr>
        <w:tc>
          <w:tcPr>
            <w:tcW w:type="dxa" w:w="1728"/>
          </w:tcPr>
          <w:p>
            <w:r>
              <w:rPr>
                <w:rFonts w:ascii="Calibri" w:hAnsi="Calibri"/>
                <w:sz w:val="22"/>
              </w:rPr>
              <w:t>MIS Revenue Growth (FY)</w:t>
            </w:r>
          </w:p>
        </w:tc>
        <w:tc>
          <w:tcPr>
            <w:tcW w:type="dxa" w:w="1728"/>
          </w:tcPr>
          <w:p>
            <w:r>
              <w:rPr>
                <w:rFonts w:ascii="Calibri" w:hAnsi="Calibri"/>
                <w:sz w:val="22"/>
              </w:rPr>
              <w:t>High-single-digit %</w:t>
            </w:r>
          </w:p>
        </w:tc>
        <w:tc>
          <w:tcPr>
            <w:tcW w:type="dxa" w:w="1728"/>
          </w:tcPr>
          <w:p>
            <w:r>
              <w:rPr>
                <w:rFonts w:ascii="Calibri" w:hAnsi="Calibri"/>
                <w:sz w:val="22"/>
              </w:rPr>
              <w:t>—</w:t>
            </w:r>
          </w:p>
        </w:tc>
        <w:tc>
          <w:tcPr>
            <w:tcW w:type="dxa" w:w="1728"/>
          </w:tcPr>
          <w:p>
            <w:r>
              <w:rPr>
                <w:rFonts w:ascii="Calibri" w:hAnsi="Calibri"/>
                <w:sz w:val="22"/>
              </w:rPr>
              <w:t>~+9.0% YoY ($4.66B)</w:t>
            </w:r>
          </w:p>
        </w:tc>
        <w:tc>
          <w:tcPr>
            <w:tcW w:type="dxa" w:w="1728"/>
          </w:tcPr>
          <w:p>
            <w:r>
              <w:rPr>
                <w:rFonts w:ascii="Calibri" w:hAnsi="Calibri"/>
                <w:sz w:val="22"/>
              </w:rPr>
              <w:t>Unchanged; management noted markets “quite constructive” at Bernstein</w:t>
            </w:r>
          </w:p>
        </w:tc>
      </w:tr>
      <w:tr>
        <w:tc>
          <w:tcPr>
            <w:tcW w:type="dxa" w:w="1728"/>
          </w:tcPr>
          <w:p>
            <w:r>
              <w:rPr>
                <w:rFonts w:ascii="Calibri" w:hAnsi="Calibri"/>
                <w:sz w:val="22"/>
              </w:rPr>
              <w:t>MIS Revenue Growth (Q2)</w:t>
            </w:r>
          </w:p>
        </w:tc>
        <w:tc>
          <w:tcPr>
            <w:tcW w:type="dxa" w:w="1728"/>
          </w:tcPr>
          <w:p>
            <w:r>
              <w:rPr>
                <w:rFonts w:ascii="Calibri" w:hAnsi="Calibri"/>
                <w:sz w:val="22"/>
              </w:rPr>
              <w:t>Low-to-mid teens %</w:t>
            </w:r>
          </w:p>
        </w:tc>
        <w:tc>
          <w:tcPr>
            <w:tcW w:type="dxa" w:w="1728"/>
          </w:tcPr>
          <w:p>
            <w:r>
              <w:rPr>
                <w:rFonts w:ascii="Calibri" w:hAnsi="Calibri"/>
                <w:sz w:val="22"/>
              </w:rPr>
              <w:t>—</w:t>
            </w:r>
          </w:p>
        </w:tc>
        <w:tc>
          <w:tcPr>
            <w:tcW w:type="dxa" w:w="1728"/>
          </w:tcPr>
          <w:p>
            <w:r>
              <w:rPr>
                <w:rFonts w:ascii="Calibri" w:hAnsi="Calibri"/>
                <w:sz w:val="22"/>
              </w:rPr>
              <w:t>~+13.3% YoY ($1.20B)</w:t>
            </w:r>
          </w:p>
        </w:tc>
        <w:tc>
          <w:tcPr>
            <w:tcW w:type="dxa" w:w="1728"/>
          </w:tcPr>
          <w:p>
            <w:r>
              <w:rPr>
                <w:rFonts w:ascii="Calibri" w:hAnsi="Calibri"/>
                <w:sz w:val="22"/>
              </w:rPr>
              <w:t>Consensus at low end of guided range; issuance expected to decline mid-teens sequentially from Q1</w:t>
            </w:r>
          </w:p>
        </w:tc>
      </w:tr>
      <w:tr>
        <w:tc>
          <w:tcPr>
            <w:tcW w:type="dxa" w:w="1728"/>
          </w:tcPr>
          <w:p>
            <w:r>
              <w:rPr>
                <w:rFonts w:ascii="Calibri" w:hAnsi="Calibri"/>
                <w:sz w:val="22"/>
              </w:rPr>
              <w:t>MA Revenue Growth (FY)</w:t>
            </w:r>
          </w:p>
        </w:tc>
        <w:tc>
          <w:tcPr>
            <w:tcW w:type="dxa" w:w="1728"/>
          </w:tcPr>
          <w:p>
            <w:r>
              <w:rPr>
                <w:rFonts w:ascii="Calibri" w:hAnsi="Calibri"/>
                <w:sz w:val="22"/>
              </w:rPr>
              <w:t>Mid-single-digit % (lower end, post-RAS divestiture)</w:t>
            </w:r>
          </w:p>
        </w:tc>
        <w:tc>
          <w:tcPr>
            <w:tcW w:type="dxa" w:w="1728"/>
          </w:tcPr>
          <w:p>
            <w:r>
              <w:rPr>
                <w:rFonts w:ascii="Calibri" w:hAnsi="Calibri"/>
                <w:sz w:val="22"/>
              </w:rPr>
              <w:t>—</w:t>
            </w:r>
          </w:p>
        </w:tc>
        <w:tc>
          <w:tcPr>
            <w:tcW w:type="dxa" w:w="1728"/>
          </w:tcPr>
          <w:p>
            <w:r>
              <w:rPr>
                <w:rFonts w:ascii="Calibri" w:hAnsi="Calibri"/>
                <w:sz w:val="22"/>
              </w:rPr>
              <w:t>~+4.7% YoY ($3.79B)</w:t>
            </w:r>
          </w:p>
        </w:tc>
        <w:tc>
          <w:tcPr>
            <w:tcW w:type="dxa" w:w="1728"/>
          </w:tcPr>
          <w:p>
            <w:r>
              <w:rPr>
                <w:rFonts w:ascii="Calibri" w:hAnsi="Calibri"/>
                <w:sz w:val="22"/>
              </w:rPr>
              <w:t>Unchanged; RAS divestiture closed April 30 as expected</w:t>
            </w:r>
          </w:p>
        </w:tc>
      </w:tr>
      <w:tr>
        <w:tc>
          <w:tcPr>
            <w:tcW w:type="dxa" w:w="1728"/>
          </w:tcPr>
          <w:p>
            <w:r>
              <w:rPr>
                <w:rFonts w:ascii="Calibri" w:hAnsi="Calibri"/>
                <w:sz w:val="22"/>
              </w:rPr>
              <w:t>MA ARR Growth (FY)</w:t>
            </w:r>
          </w:p>
        </w:tc>
        <w:tc>
          <w:tcPr>
            <w:tcW w:type="dxa" w:w="1728"/>
          </w:tcPr>
          <w:p>
            <w:r>
              <w:rPr>
                <w:rFonts w:ascii="Calibri" w:hAnsi="Calibri"/>
                <w:sz w:val="22"/>
              </w:rPr>
              <w:t>High-single-digit %</w:t>
            </w:r>
          </w:p>
        </w:tc>
        <w:tc>
          <w:tcPr>
            <w:tcW w:type="dxa" w:w="1728"/>
          </w:tcPr>
          <w:p>
            <w:r>
              <w:rPr>
                <w:rFonts w:ascii="Calibri" w:hAnsi="Calibri"/>
                <w:sz w:val="22"/>
              </w:rPr>
              <w:t>—</w:t>
            </w:r>
          </w:p>
        </w:tc>
        <w:tc>
          <w:tcPr>
            <w:tcW w:type="dxa" w:w="1728"/>
          </w:tcPr>
          <w:p>
            <w:r>
              <w:rPr>
                <w:rFonts w:ascii="Calibri" w:hAnsi="Calibri"/>
                <w:sz w:val="22"/>
              </w:rPr>
              <w:t>~8.5% YoY ($3.81B)</w:t>
            </w:r>
          </w:p>
        </w:tc>
        <w:tc>
          <w:tcPr>
            <w:tcW w:type="dxa" w:w="1728"/>
          </w:tcPr>
          <w:p>
            <w:r>
              <w:rPr>
                <w:rFonts w:ascii="Calibri" w:hAnsi="Calibri"/>
                <w:sz w:val="22"/>
              </w:rPr>
              <w:t>Unchanged; OneView migration and AI enterprise deals cited as H2 catalysts</w:t>
            </w:r>
          </w:p>
        </w:tc>
      </w:tr>
      <w:tr>
        <w:tc>
          <w:tcPr>
            <w:tcW w:type="dxa" w:w="1728"/>
          </w:tcPr>
          <w:p>
            <w:r>
              <w:rPr>
                <w:rFonts w:ascii="Calibri" w:hAnsi="Calibri"/>
                <w:sz w:val="22"/>
              </w:rPr>
              <w:t>Adj. Diluted EPS (FY)</w:t>
            </w:r>
          </w:p>
        </w:tc>
        <w:tc>
          <w:tcPr>
            <w:tcW w:type="dxa" w:w="1728"/>
          </w:tcPr>
          <w:p>
            <w:r>
              <w:rPr>
                <w:rFonts w:ascii="Calibri" w:hAnsi="Calibri"/>
                <w:sz w:val="22"/>
              </w:rPr>
              <w:t>$16.40–$17.00</w:t>
            </w:r>
          </w:p>
        </w:tc>
        <w:tc>
          <w:tcPr>
            <w:tcW w:type="dxa" w:w="1728"/>
          </w:tcPr>
          <w:p>
            <w:r>
              <w:rPr>
                <w:rFonts w:ascii="Calibri" w:hAnsi="Calibri"/>
                <w:sz w:val="22"/>
              </w:rPr>
              <w:t>—</w:t>
            </w:r>
          </w:p>
        </w:tc>
        <w:tc>
          <w:tcPr>
            <w:tcW w:type="dxa" w:w="1728"/>
          </w:tcPr>
          <w:p>
            <w:r>
              <w:rPr>
                <w:rFonts w:ascii="Calibri" w:hAnsi="Calibri"/>
                <w:sz w:val="22"/>
              </w:rPr>
              <w:t>$16.78</w:t>
            </w:r>
          </w:p>
        </w:tc>
        <w:tc>
          <w:tcPr>
            <w:tcW w:type="dxa" w:w="1728"/>
          </w:tcPr>
          <w:p>
            <w:r>
              <w:rPr>
                <w:rFonts w:ascii="Calibri" w:hAnsi="Calibri"/>
                <w:sz w:val="22"/>
              </w:rPr>
              <w:t>Consensus near midpoint ($16.70); unchanged guidance</w:t>
            </w:r>
          </w:p>
        </w:tc>
      </w:tr>
      <w:tr>
        <w:tc>
          <w:tcPr>
            <w:tcW w:type="dxa" w:w="1728"/>
          </w:tcPr>
          <w:p>
            <w:r>
              <w:rPr>
                <w:rFonts w:ascii="Calibri" w:hAnsi="Calibri"/>
                <w:sz w:val="22"/>
              </w:rPr>
              <w:t>Adj. Diluted EPS (Q2)</w:t>
            </w:r>
          </w:p>
        </w:tc>
        <w:tc>
          <w:tcPr>
            <w:tcW w:type="dxa" w:w="1728"/>
          </w:tcPr>
          <w:p>
            <w:r>
              <w:rPr>
                <w:rFonts w:ascii="Calibri" w:hAnsi="Calibri"/>
                <w:sz w:val="22"/>
              </w:rPr>
              <w:t>$4.15–$4.30</w:t>
            </w:r>
          </w:p>
        </w:tc>
        <w:tc>
          <w:tcPr>
            <w:tcW w:type="dxa" w:w="1728"/>
          </w:tcPr>
          <w:p>
            <w:r>
              <w:rPr>
                <w:rFonts w:ascii="Calibri" w:hAnsi="Calibri"/>
                <w:sz w:val="22"/>
              </w:rPr>
              <w:t>—</w:t>
            </w:r>
          </w:p>
        </w:tc>
        <w:tc>
          <w:tcPr>
            <w:tcW w:type="dxa" w:w="1728"/>
          </w:tcPr>
          <w:p>
            <w:r>
              <w:rPr>
                <w:rFonts w:ascii="Calibri" w:hAnsi="Calibri"/>
                <w:sz w:val="22"/>
              </w:rPr>
              <w:t>$4.25</w:t>
            </w:r>
          </w:p>
        </w:tc>
        <w:tc>
          <w:tcPr>
            <w:tcW w:type="dxa" w:w="1728"/>
          </w:tcPr>
          <w:p>
            <w:r>
              <w:rPr>
                <w:rFonts w:ascii="Calibri" w:hAnsi="Calibri"/>
                <w:sz w:val="22"/>
              </w:rPr>
              <w:t>Consensus +0.6% above midpoint ($4.225); within range</w:t>
            </w:r>
          </w:p>
        </w:tc>
      </w:tr>
      <w:tr>
        <w:tc>
          <w:tcPr>
            <w:tcW w:type="dxa" w:w="1728"/>
          </w:tcPr>
          <w:p>
            <w:r>
              <w:rPr>
                <w:rFonts w:ascii="Calibri" w:hAnsi="Calibri"/>
                <w:sz w:val="22"/>
              </w:rPr>
              <w:t>MCO Adj. Operating Margin (FY)</w:t>
            </w:r>
          </w:p>
        </w:tc>
        <w:tc>
          <w:tcPr>
            <w:tcW w:type="dxa" w:w="1728"/>
          </w:tcPr>
          <w:p>
            <w:r>
              <w:rPr>
                <w:rFonts w:ascii="Calibri" w:hAnsi="Calibri"/>
                <w:sz w:val="22"/>
              </w:rPr>
              <w:t>52%–53%</w:t>
            </w:r>
          </w:p>
        </w:tc>
        <w:tc>
          <w:tcPr>
            <w:tcW w:type="dxa" w:w="1728"/>
          </w:tcPr>
          <w:p>
            <w:r>
              <w:rPr>
                <w:rFonts w:ascii="Calibri" w:hAnsi="Calibri"/>
                <w:sz w:val="22"/>
              </w:rPr>
              <w:t>—</w:t>
            </w:r>
          </w:p>
        </w:tc>
        <w:tc>
          <w:tcPr>
            <w:tcW w:type="dxa" w:w="1728"/>
          </w:tcPr>
          <w:p>
            <w:r>
              <w:rPr>
                <w:rFonts w:ascii="Calibri" w:hAnsi="Calibri"/>
                <w:sz w:val="22"/>
              </w:rPr>
              <w:t>~47% (adj. operating income / revenue)</w:t>
            </w:r>
          </w:p>
        </w:tc>
        <w:tc>
          <w:tcPr>
            <w:tcW w:type="dxa" w:w="1728"/>
          </w:tcPr>
          <w:p>
            <w:r>
              <w:rPr>
                <w:rFonts w:ascii="Calibri" w:hAnsi="Calibri"/>
                <w:sz w:val="22"/>
              </w:rPr>
              <w:t>Unchanged; Q2 expected above midpoint of FY range per management</w:t>
            </w:r>
          </w:p>
        </w:tc>
      </w:tr>
      <w:tr>
        <w:tc>
          <w:tcPr>
            <w:tcW w:type="dxa" w:w="1728"/>
          </w:tcPr>
          <w:p>
            <w:r>
              <w:rPr>
                <w:rFonts w:ascii="Calibri" w:hAnsi="Calibri"/>
                <w:sz w:val="22"/>
              </w:rPr>
              <w:t>MA Adj. Operating Margin (FY)</w:t>
            </w:r>
          </w:p>
        </w:tc>
        <w:tc>
          <w:tcPr>
            <w:tcW w:type="dxa" w:w="1728"/>
          </w:tcPr>
          <w:p>
            <w:r>
              <w:rPr>
                <w:rFonts w:ascii="Calibri" w:hAnsi="Calibri"/>
                <w:sz w:val="22"/>
              </w:rPr>
              <w:t>34%–35%</w:t>
            </w:r>
          </w:p>
        </w:tc>
        <w:tc>
          <w:tcPr>
            <w:tcW w:type="dxa" w:w="1728"/>
          </w:tcPr>
          <w:p>
            <w:r>
              <w:rPr>
                <w:rFonts w:ascii="Calibri" w:hAnsi="Calibri"/>
                <w:sz w:val="22"/>
              </w:rPr>
              <w:t>—</w:t>
            </w:r>
          </w:p>
        </w:tc>
        <w:tc>
          <w:tcPr>
            <w:tcW w:type="dxa" w:w="1728"/>
          </w:tcPr>
          <w:p>
            <w:r>
              <w:rPr>
                <w:rFonts w:ascii="Calibri" w:hAnsi="Calibri"/>
                <w:sz w:val="22"/>
              </w:rPr>
              <w:t>~34.5% (FY est.)</w:t>
            </w:r>
          </w:p>
        </w:tc>
        <w:tc>
          <w:tcPr>
            <w:tcW w:type="dxa" w:w="1728"/>
          </w:tcPr>
          <w:p>
            <w:r>
              <w:rPr>
                <w:rFonts w:ascii="Calibri" w:hAnsi="Calibri"/>
                <w:sz w:val="22"/>
              </w:rPr>
              <w:t>Unchanged; Q1 at 32.5%, modest step-up expected in Q2</w:t>
            </w:r>
          </w:p>
        </w:tc>
      </w:tr>
      <w:tr>
        <w:tc>
          <w:tcPr>
            <w:tcW w:type="dxa" w:w="1728"/>
          </w:tcPr>
          <w:p>
            <w:r>
              <w:rPr>
                <w:rFonts w:ascii="Calibri" w:hAnsi="Calibri"/>
                <w:sz w:val="22"/>
              </w:rPr>
              <w:t>Share Repurchases (FY)</w:t>
            </w:r>
          </w:p>
        </w:tc>
        <w:tc>
          <w:tcPr>
            <w:tcW w:type="dxa" w:w="1728"/>
          </w:tcPr>
          <w:p>
            <w:r>
              <w:rPr>
                <w:rFonts w:ascii="Calibri" w:hAnsi="Calibri"/>
                <w:sz w:val="22"/>
              </w:rPr>
              <w:t>~$2.5B (↑ raised from $2.0B at Q1)</w:t>
            </w:r>
          </w:p>
        </w:tc>
        <w:tc>
          <w:tcPr>
            <w:tcW w:type="dxa" w:w="1728"/>
          </w:tcPr>
          <w:p>
            <w:r>
              <w:rPr>
                <w:rFonts w:ascii="Calibri" w:hAnsi="Calibri"/>
                <w:sz w:val="22"/>
              </w:rPr>
              <w:t>—</w:t>
            </w:r>
          </w:p>
        </w:tc>
        <w:tc>
          <w:tcPr>
            <w:tcW w:type="dxa" w:w="1728"/>
          </w:tcPr>
          <w:p>
            <w:r>
              <w:rPr>
                <w:rFonts w:ascii="Calibri" w:hAnsi="Calibri"/>
                <w:sz w:val="22"/>
              </w:rPr>
              <w:t>~$2.5B</w:t>
            </w:r>
          </w:p>
        </w:tc>
        <w:tc>
          <w:tcPr>
            <w:tcW w:type="dxa" w:w="1728"/>
          </w:tcPr>
          <w:p>
            <w:r>
              <w:rPr>
                <w:rFonts w:ascii="Calibri" w:hAnsi="Calibri"/>
                <w:sz w:val="22"/>
              </w:rPr>
              <w:t>↑ Raised at Q1 earnings April 22, 2026; $1.5B already executed in Q1</w:t>
            </w:r>
          </w:p>
        </w:tc>
      </w:tr>
      <w:tr>
        <w:tc>
          <w:tcPr>
            <w:tcW w:type="dxa" w:w="1728"/>
          </w:tcPr>
          <w:p>
            <w:r>
              <w:rPr>
                <w:rFonts w:ascii="Calibri" w:hAnsi="Calibri"/>
                <w:sz w:val="22"/>
              </w:rPr>
              <w:t>Free Cash Flow (FY)</w:t>
            </w:r>
          </w:p>
        </w:tc>
        <w:tc>
          <w:tcPr>
            <w:tcW w:type="dxa" w:w="1728"/>
          </w:tcPr>
          <w:p>
            <w:r>
              <w:rPr>
                <w:rFonts w:ascii="Calibri" w:hAnsi="Calibri"/>
                <w:sz w:val="22"/>
              </w:rPr>
              <w:t>$2.8–$3.0B</w:t>
            </w:r>
          </w:p>
        </w:tc>
        <w:tc>
          <w:tcPr>
            <w:tcW w:type="dxa" w:w="1728"/>
          </w:tcPr>
          <w:p>
            <w:r>
              <w:rPr>
                <w:rFonts w:ascii="Calibri" w:hAnsi="Calibri"/>
                <w:sz w:val="22"/>
              </w:rPr>
              <w:t>—</w:t>
            </w:r>
          </w:p>
        </w:tc>
        <w:tc>
          <w:tcPr>
            <w:tcW w:type="dxa" w:w="1728"/>
          </w:tcPr>
          <w:p>
            <w:r>
              <w:rPr>
                <w:rFonts w:ascii="Calibri" w:hAnsi="Calibri"/>
                <w:sz w:val="22"/>
              </w:rPr>
              <w:t>~$2.9B</w:t>
            </w:r>
          </w:p>
        </w:tc>
        <w:tc>
          <w:tcPr>
            <w:tcW w:type="dxa" w:w="1728"/>
          </w:tcPr>
          <w:p>
            <w:r>
              <w:rPr>
                <w:rFonts w:ascii="Calibri" w:hAnsi="Calibri"/>
                <w:sz w:val="22"/>
              </w:rPr>
              <w:t>Unchanged; Q1 FCF of $844M up 26% YoY, tracking well</w:t>
            </w:r>
          </w:p>
        </w:tc>
      </w:tr>
    </w:tbl>
    <w:p>
      <w:r>
        <w:rPr>
          <w:rFonts w:ascii="Calibri" w:hAnsi="Calibri"/>
          <w:color w:val="525866"/>
          <w:sz w:val="22"/>
        </w:rPr>
        <w:t>Sources: MCO Q1 2026 Earnings Release and Earnings Call Transcript (April 22, 2026); Bernstein Strategic Decisions Conference Transcript (May 28, 2026); Visible Alpha Consensus and Actuals Data.</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b/>
          <w:color w:val="525866"/>
          <w:sz w:val="22"/>
        </w:rPr>
        <w:t xml:space="preserve">Estimates have drifted modestly higher since the Q1 print across all key metrics, with the most notable revision in MIS revenue and EPS. </w:t>
      </w:r>
      <w:r>
        <w:rPr>
          <w:rFonts w:ascii="Calibri" w:hAnsi="Calibri"/>
          <w:color w:val="525866"/>
          <w:sz w:val="22"/>
        </w:rPr>
        <w:t>Consensus is tracking guidance closely — no meaningful divergence — suggesting the Street is not pricing in either a significant beat or miss.</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(Apr 29, 2026)</w:t>
            </w:r>
          </w:p>
        </w:tc>
        <w:tc>
          <w:tcPr>
            <w:tcW w:type="dxa" w:w="1080"/>
            <w:shd w:val="clear" w:color="auto" w:fill="3B4259"/>
          </w:tcPr>
          <w:p>
            <w:r>
              <w:rPr>
                <w:rFonts w:ascii="Calibri" w:hAnsi="Calibri"/>
                <w:b/>
                <w:color w:val="FFFFFF"/>
                <w:sz w:val="22"/>
              </w:rPr>
              <w:t>Current Estimate (Jul 21,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Earnings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Adj. EPS — Q2 2026</w:t>
            </w:r>
          </w:p>
        </w:tc>
        <w:tc>
          <w:tcPr>
            <w:tcW w:type="dxa" w:w="1080"/>
          </w:tcPr>
          <w:p>
            <w:r>
              <w:rPr>
                <w:rFonts w:ascii="Calibri" w:hAnsi="Calibri"/>
                <w:sz w:val="22"/>
              </w:rPr>
              <w:t>$4.17</w:t>
            </w:r>
          </w:p>
        </w:tc>
        <w:tc>
          <w:tcPr>
            <w:tcW w:type="dxa" w:w="1080"/>
          </w:tcPr>
          <w:p>
            <w:r>
              <w:rPr>
                <w:rFonts w:ascii="Calibri" w:hAnsi="Calibri"/>
                <w:sz w:val="22"/>
              </w:rPr>
              <w:t>$4.25</w:t>
            </w:r>
          </w:p>
        </w:tc>
        <w:tc>
          <w:tcPr>
            <w:tcW w:type="dxa" w:w="1080"/>
          </w:tcPr>
          <w:p>
            <w:r>
              <w:rPr>
                <w:rFonts w:ascii="Calibri" w:hAnsi="Calibri"/>
                <w:b/>
                <w:color w:val="30A46C"/>
                <w:sz w:val="22"/>
              </w:rPr>
              <w:t>+1.9%</w:t>
            </w:r>
          </w:p>
        </w:tc>
        <w:tc>
          <w:tcPr>
            <w:tcW w:type="dxa" w:w="1080"/>
          </w:tcPr>
          <w:p>
            <w:r>
              <w:rPr>
                <w:rFonts w:ascii="Calibri" w:hAnsi="Calibri"/>
                <w:sz w:val="22"/>
              </w:rPr>
              <w:t>$4.15–$4.30</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+0.6% vs. midpoint</w:t>
            </w:r>
          </w:p>
        </w:tc>
      </w:tr>
      <w:tr>
        <w:tc>
          <w:tcPr>
            <w:tcW w:type="dxa" w:w="1080"/>
          </w:tcPr>
          <w:p>
            <w:r>
              <w:rPr>
                <w:rFonts w:ascii="Calibri" w:hAnsi="Calibri"/>
                <w:sz w:val="22"/>
              </w:rPr>
              <w:t>Adj. EPS — FY 2026</w:t>
            </w:r>
          </w:p>
        </w:tc>
        <w:tc>
          <w:tcPr>
            <w:tcW w:type="dxa" w:w="1080"/>
          </w:tcPr>
          <w:p>
            <w:r>
              <w:rPr>
                <w:rFonts w:ascii="Calibri" w:hAnsi="Calibri"/>
                <w:sz w:val="22"/>
              </w:rPr>
              <w:t>$16.70</w:t>
            </w:r>
          </w:p>
        </w:tc>
        <w:tc>
          <w:tcPr>
            <w:tcW w:type="dxa" w:w="1080"/>
          </w:tcPr>
          <w:p>
            <w:r>
              <w:rPr>
                <w:rFonts w:ascii="Calibri" w:hAnsi="Calibri"/>
                <w:sz w:val="22"/>
              </w:rPr>
              <w:t>$16.78</w:t>
            </w:r>
          </w:p>
        </w:tc>
        <w:tc>
          <w:tcPr>
            <w:tcW w:type="dxa" w:w="1080"/>
          </w:tcPr>
          <w:p>
            <w:r>
              <w:rPr>
                <w:rFonts w:ascii="Calibri" w:hAnsi="Calibri"/>
                <w:b/>
                <w:color w:val="30A46C"/>
                <w:sz w:val="22"/>
              </w:rPr>
              <w:t>+0.5%</w:t>
            </w:r>
          </w:p>
        </w:tc>
        <w:tc>
          <w:tcPr>
            <w:tcW w:type="dxa" w:w="1080"/>
          </w:tcPr>
          <w:p>
            <w:r>
              <w:rPr>
                <w:rFonts w:ascii="Calibri" w:hAnsi="Calibri"/>
                <w:sz w:val="22"/>
              </w:rPr>
              <w:t>$16.40–$17.00</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+0.5% vs. midpoint</w:t>
            </w:r>
          </w:p>
        </w:tc>
      </w:tr>
      <w:tr>
        <w:tc>
          <w:tcPr>
            <w:tcW w:type="dxa" w:w="1080"/>
          </w:tcPr>
          <w:p>
            <w:r>
              <w:rPr>
                <w:rFonts w:ascii="Calibri" w:hAnsi="Calibri"/>
                <w:sz w:val="22"/>
              </w:rPr>
              <w:t>Total Revenue — Q2 2026</w:t>
            </w:r>
          </w:p>
        </w:tc>
        <w:tc>
          <w:tcPr>
            <w:tcW w:type="dxa" w:w="1080"/>
          </w:tcPr>
          <w:p>
            <w:r>
              <w:rPr>
                <w:rFonts w:ascii="Calibri" w:hAnsi="Calibri"/>
                <w:sz w:val="22"/>
              </w:rPr>
              <w:t>$2,065M</w:t>
            </w:r>
          </w:p>
        </w:tc>
        <w:tc>
          <w:tcPr>
            <w:tcW w:type="dxa" w:w="1080"/>
          </w:tcPr>
          <w:p>
            <w:r>
              <w:rPr>
                <w:rFonts w:ascii="Calibri" w:hAnsi="Calibri"/>
                <w:sz w:val="22"/>
              </w:rPr>
              <w:t>$2,085M</w:t>
            </w:r>
          </w:p>
        </w:tc>
        <w:tc>
          <w:tcPr>
            <w:tcW w:type="dxa" w:w="1080"/>
          </w:tcPr>
          <w:p>
            <w:r>
              <w:rPr>
                <w:rFonts w:ascii="Calibri" w:hAnsi="Calibri"/>
                <w:b/>
                <w:color w:val="30A46C"/>
                <w:sz w:val="22"/>
              </w:rPr>
              <w:t>+1.0%</w:t>
            </w:r>
          </w:p>
        </w:tc>
        <w:tc>
          <w:tcPr>
            <w:tcW w:type="dxa" w:w="1080"/>
          </w:tcPr>
          <w:p>
            <w:r>
              <w:rPr>
                <w:rFonts w:ascii="Calibri" w:hAnsi="Calibri"/>
                <w:sz w:val="22"/>
              </w:rPr>
              <w:t>High-single-digit % growth (FY)</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w:t>
            </w:r>
          </w:p>
        </w:tc>
      </w:tr>
      <w:tr>
        <w:tc>
          <w:tcPr>
            <w:tcW w:type="dxa" w:w="1080"/>
          </w:tcPr>
          <w:p>
            <w:r>
              <w:rPr>
                <w:rFonts w:ascii="Calibri" w:hAnsi="Calibri"/>
                <w:sz w:val="22"/>
              </w:rPr>
              <w:t>Total Revenue — FY 2026</w:t>
            </w:r>
          </w:p>
        </w:tc>
        <w:tc>
          <w:tcPr>
            <w:tcW w:type="dxa" w:w="1080"/>
          </w:tcPr>
          <w:p>
            <w:r>
              <w:rPr>
                <w:rFonts w:ascii="Calibri" w:hAnsi="Calibri"/>
                <w:sz w:val="22"/>
              </w:rPr>
              <w:t>$8,236M</w:t>
            </w:r>
          </w:p>
        </w:tc>
        <w:tc>
          <w:tcPr>
            <w:tcW w:type="dxa" w:w="1080"/>
          </w:tcPr>
          <w:p>
            <w:r>
              <w:rPr>
                <w:rFonts w:ascii="Calibri" w:hAnsi="Calibri"/>
                <w:sz w:val="22"/>
              </w:rPr>
              <w:t>$8,255M</w:t>
            </w:r>
          </w:p>
        </w:tc>
        <w:tc>
          <w:tcPr>
            <w:tcW w:type="dxa" w:w="1080"/>
          </w:tcPr>
          <w:p>
            <w:r>
              <w:rPr>
                <w:rFonts w:ascii="Calibri" w:hAnsi="Calibri"/>
                <w:b/>
                <w:color w:val="30A46C"/>
                <w:sz w:val="22"/>
              </w:rPr>
              <w:t>+0.2%</w:t>
            </w:r>
          </w:p>
        </w:tc>
        <w:tc>
          <w:tcPr>
            <w:tcW w:type="dxa" w:w="1080"/>
          </w:tcPr>
          <w:p>
            <w:r>
              <w:rPr>
                <w:rFonts w:ascii="Calibri" w:hAnsi="Calibri"/>
                <w:sz w:val="22"/>
              </w:rPr>
              <w:t>High-single-digit %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w:t>
            </w:r>
          </w:p>
        </w:tc>
      </w:tr>
      <w:tr>
        <w:tc>
          <w:tcPr>
            <w:tcW w:type="dxa" w:w="1080"/>
          </w:tcPr>
          <w:p>
            <w:r>
              <w:rPr>
                <w:rFonts w:ascii="Calibri" w:hAnsi="Calibri"/>
                <w:sz w:val="22"/>
              </w:rPr>
              <w:t>MIS Revenue — Q2 2026</w:t>
            </w:r>
          </w:p>
        </w:tc>
        <w:tc>
          <w:tcPr>
            <w:tcW w:type="dxa" w:w="1080"/>
          </w:tcPr>
          <w:p>
            <w:r>
              <w:rPr>
                <w:rFonts w:ascii="Calibri" w:hAnsi="Calibri"/>
                <w:sz w:val="22"/>
              </w:rPr>
              <w:t>$1,183M</w:t>
            </w:r>
          </w:p>
        </w:tc>
        <w:tc>
          <w:tcPr>
            <w:tcW w:type="dxa" w:w="1080"/>
          </w:tcPr>
          <w:p>
            <w:r>
              <w:rPr>
                <w:rFonts w:ascii="Calibri" w:hAnsi="Calibri"/>
                <w:sz w:val="22"/>
              </w:rPr>
              <w:t>$1,201M</w:t>
            </w:r>
          </w:p>
        </w:tc>
        <w:tc>
          <w:tcPr>
            <w:tcW w:type="dxa" w:w="1080"/>
          </w:tcPr>
          <w:p>
            <w:r>
              <w:rPr>
                <w:rFonts w:ascii="Calibri" w:hAnsi="Calibri"/>
                <w:b/>
                <w:color w:val="30A46C"/>
                <w:sz w:val="22"/>
              </w:rPr>
              <w:t>+1.5%</w:t>
            </w:r>
          </w:p>
        </w:tc>
        <w:tc>
          <w:tcPr>
            <w:tcW w:type="dxa" w:w="1080"/>
          </w:tcPr>
          <w:p>
            <w:r>
              <w:rPr>
                <w:rFonts w:ascii="Calibri" w:hAnsi="Calibri"/>
                <w:sz w:val="22"/>
              </w:rPr>
              <w:t>Low-to-mid teens %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~+13.3% YoY; in range</w:t>
            </w:r>
          </w:p>
        </w:tc>
      </w:tr>
      <w:tr>
        <w:tc>
          <w:tcPr>
            <w:tcW w:type="dxa" w:w="1080"/>
          </w:tcPr>
          <w:p>
            <w:r>
              <w:rPr>
                <w:rFonts w:ascii="Calibri" w:hAnsi="Calibri"/>
                <w:sz w:val="22"/>
              </w:rPr>
              <w:t>MIS Revenue — FY 2026</w:t>
            </w:r>
          </w:p>
        </w:tc>
        <w:tc>
          <w:tcPr>
            <w:tcW w:type="dxa" w:w="1080"/>
          </w:tcPr>
          <w:p>
            <w:r>
              <w:rPr>
                <w:rFonts w:ascii="Calibri" w:hAnsi="Calibri"/>
                <w:sz w:val="22"/>
              </w:rPr>
              <w:t>$4,640M</w:t>
            </w:r>
          </w:p>
        </w:tc>
        <w:tc>
          <w:tcPr>
            <w:tcW w:type="dxa" w:w="1080"/>
          </w:tcPr>
          <w:p>
            <w:r>
              <w:rPr>
                <w:rFonts w:ascii="Calibri" w:hAnsi="Calibri"/>
                <w:sz w:val="22"/>
              </w:rPr>
              <w:t>$4,661M</w:t>
            </w:r>
          </w:p>
        </w:tc>
        <w:tc>
          <w:tcPr>
            <w:tcW w:type="dxa" w:w="1080"/>
          </w:tcPr>
          <w:p>
            <w:r>
              <w:rPr>
                <w:rFonts w:ascii="Calibri" w:hAnsi="Calibri"/>
                <w:b/>
                <w:color w:val="30A46C"/>
                <w:sz w:val="22"/>
              </w:rPr>
              <w:t>+0.5%</w:t>
            </w:r>
          </w:p>
        </w:tc>
        <w:tc>
          <w:tcPr>
            <w:tcW w:type="dxa" w:w="1080"/>
          </w:tcPr>
          <w:p>
            <w:r>
              <w:rPr>
                <w:rFonts w:ascii="Calibri" w:hAnsi="Calibri"/>
                <w:sz w:val="22"/>
              </w:rPr>
              <w:t>High-single-digit %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w:t>
            </w:r>
          </w:p>
        </w:tc>
      </w:tr>
      <w:tr>
        <w:tc>
          <w:tcPr>
            <w:tcW w:type="dxa" w:w="1080"/>
          </w:tcPr>
          <w:p>
            <w:r>
              <w:rPr>
                <w:rFonts w:ascii="Calibri" w:hAnsi="Calibri"/>
                <w:sz w:val="22"/>
              </w:rPr>
              <w:t>MA Revenue — Q2 2026</w:t>
            </w:r>
          </w:p>
        </w:tc>
        <w:tc>
          <w:tcPr>
            <w:tcW w:type="dxa" w:w="1080"/>
          </w:tcPr>
          <w:p>
            <w:r>
              <w:rPr>
                <w:rFonts w:ascii="Calibri" w:hAnsi="Calibri"/>
                <w:sz w:val="22"/>
              </w:rPr>
              <w:t>$933M</w:t>
            </w:r>
          </w:p>
        </w:tc>
        <w:tc>
          <w:tcPr>
            <w:tcW w:type="dxa" w:w="1080"/>
          </w:tcPr>
          <w:p>
            <w:r>
              <w:rPr>
                <w:rFonts w:ascii="Calibri" w:hAnsi="Calibri"/>
                <w:sz w:val="22"/>
              </w:rPr>
              <w:t>$933M</w:t>
            </w:r>
          </w:p>
        </w:tc>
        <w:tc>
          <w:tcPr>
            <w:tcW w:type="dxa" w:w="1080"/>
          </w:tcPr>
          <w:p>
            <w:r>
              <w:rPr>
                <w:rFonts w:ascii="Calibri" w:hAnsi="Calibri"/>
                <w:sz w:val="22"/>
              </w:rPr>
              <w:t>Flat</w:t>
            </w:r>
          </w:p>
        </w:tc>
        <w:tc>
          <w:tcPr>
            <w:tcW w:type="dxa" w:w="1080"/>
          </w:tcPr>
          <w:p>
            <w:r>
              <w:rPr>
                <w:rFonts w:ascii="Calibri" w:hAnsi="Calibri"/>
                <w:sz w:val="22"/>
              </w:rPr>
              <w:t>Mid-single-digit %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w:t>
            </w:r>
          </w:p>
        </w:tc>
      </w:tr>
      <w:tr>
        <w:tc>
          <w:tcPr>
            <w:tcW w:type="dxa" w:w="1080"/>
          </w:tcPr>
          <w:p>
            <w:r>
              <w:rPr>
                <w:rFonts w:ascii="Calibri" w:hAnsi="Calibri"/>
                <w:sz w:val="22"/>
              </w:rPr>
              <w:t>MA Revenue — FY 2026</w:t>
            </w:r>
          </w:p>
        </w:tc>
        <w:tc>
          <w:tcPr>
            <w:tcW w:type="dxa" w:w="1080"/>
          </w:tcPr>
          <w:p>
            <w:r>
              <w:rPr>
                <w:rFonts w:ascii="Calibri" w:hAnsi="Calibri"/>
                <w:sz w:val="22"/>
              </w:rPr>
              <w:t>$3,796M</w:t>
            </w:r>
          </w:p>
        </w:tc>
        <w:tc>
          <w:tcPr>
            <w:tcW w:type="dxa" w:w="1080"/>
          </w:tcPr>
          <w:p>
            <w:r>
              <w:rPr>
                <w:rFonts w:ascii="Calibri" w:hAnsi="Calibri"/>
                <w:sz w:val="22"/>
              </w:rPr>
              <w:t>$3,791M</w:t>
            </w:r>
          </w:p>
        </w:tc>
        <w:tc>
          <w:tcPr>
            <w:tcW w:type="dxa" w:w="1080"/>
          </w:tcPr>
          <w:p>
            <w:r>
              <w:rPr>
                <w:rFonts w:ascii="Calibri" w:hAnsi="Calibri"/>
                <w:sz w:val="22"/>
              </w:rPr>
              <w:t>−0.1%</w:t>
            </w:r>
          </w:p>
        </w:tc>
        <w:tc>
          <w:tcPr>
            <w:tcW w:type="dxa" w:w="1080"/>
          </w:tcPr>
          <w:p>
            <w:r>
              <w:rPr>
                <w:rFonts w:ascii="Calibri" w:hAnsi="Calibri"/>
                <w:sz w:val="22"/>
              </w:rPr>
              <w:t>Mid-single-digit %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w:t>
            </w:r>
          </w:p>
        </w:tc>
      </w:tr>
      <w:tr>
        <w:tc>
          <w:tcPr>
            <w:tcW w:type="dxa" w:w="1080"/>
          </w:tcPr>
          <w:p>
            <w:r>
              <w:rPr>
                <w:rFonts w:ascii="Calibri" w:hAnsi="Calibri"/>
                <w:sz w:val="22"/>
              </w:rPr>
              <w:t>MA ARR — Q2 2026</w:t>
            </w:r>
          </w:p>
        </w:tc>
        <w:tc>
          <w:tcPr>
            <w:tcW w:type="dxa" w:w="1080"/>
          </w:tcPr>
          <w:p>
            <w:r>
              <w:rPr>
                <w:rFonts w:ascii="Calibri" w:hAnsi="Calibri"/>
                <w:sz w:val="22"/>
              </w:rPr>
              <w:t>$3,562M</w:t>
            </w:r>
          </w:p>
        </w:tc>
        <w:tc>
          <w:tcPr>
            <w:tcW w:type="dxa" w:w="1080"/>
          </w:tcPr>
          <w:p>
            <w:r>
              <w:rPr>
                <w:rFonts w:ascii="Calibri" w:hAnsi="Calibri"/>
                <w:sz w:val="22"/>
              </w:rPr>
              <w:t>$3,592M</w:t>
            </w:r>
          </w:p>
        </w:tc>
        <w:tc>
          <w:tcPr>
            <w:tcW w:type="dxa" w:w="1080"/>
          </w:tcPr>
          <w:p>
            <w:r>
              <w:rPr>
                <w:rFonts w:ascii="Calibri" w:hAnsi="Calibri"/>
                <w:b/>
                <w:color w:val="30A46C"/>
                <w:sz w:val="22"/>
              </w:rPr>
              <w:t>+0.8%</w:t>
            </w:r>
          </w:p>
        </w:tc>
        <w:tc>
          <w:tcPr>
            <w:tcW w:type="dxa" w:w="1080"/>
          </w:tcPr>
          <w:p>
            <w:r>
              <w:rPr>
                <w:rFonts w:ascii="Calibri" w:hAnsi="Calibri"/>
                <w:sz w:val="22"/>
              </w:rPr>
              <w:t>High-single-digit %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~+9.0% YoY; in range</w:t>
            </w:r>
          </w:p>
        </w:tc>
      </w:tr>
      <w:tr>
        <w:tc>
          <w:tcPr>
            <w:tcW w:type="dxa" w:w="1080"/>
          </w:tcPr>
          <w:p>
            <w:r>
              <w:rPr>
                <w:rFonts w:ascii="Calibri" w:hAnsi="Calibri"/>
                <w:sz w:val="22"/>
              </w:rPr>
              <w:t>MA ARR — FY 2026</w:t>
            </w:r>
          </w:p>
        </w:tc>
        <w:tc>
          <w:tcPr>
            <w:tcW w:type="dxa" w:w="1080"/>
          </w:tcPr>
          <w:p>
            <w:r>
              <w:rPr>
                <w:rFonts w:ascii="Calibri" w:hAnsi="Calibri"/>
                <w:sz w:val="22"/>
              </w:rPr>
              <w:t>$3,781M</w:t>
            </w:r>
          </w:p>
        </w:tc>
        <w:tc>
          <w:tcPr>
            <w:tcW w:type="dxa" w:w="1080"/>
          </w:tcPr>
          <w:p>
            <w:r>
              <w:rPr>
                <w:rFonts w:ascii="Calibri" w:hAnsi="Calibri"/>
                <w:sz w:val="22"/>
              </w:rPr>
              <w:t>$3,811M</w:t>
            </w:r>
          </w:p>
        </w:tc>
        <w:tc>
          <w:tcPr>
            <w:tcW w:type="dxa" w:w="1080"/>
          </w:tcPr>
          <w:p>
            <w:r>
              <w:rPr>
                <w:rFonts w:ascii="Calibri" w:hAnsi="Calibri"/>
                <w:b/>
                <w:color w:val="30A46C"/>
                <w:sz w:val="22"/>
              </w:rPr>
              <w:t>+0.8%</w:t>
            </w:r>
          </w:p>
        </w:tc>
        <w:tc>
          <w:tcPr>
            <w:tcW w:type="dxa" w:w="1080"/>
          </w:tcPr>
          <w:p>
            <w:r>
              <w:rPr>
                <w:rFonts w:ascii="Calibri" w:hAnsi="Calibri"/>
                <w:sz w:val="22"/>
              </w:rPr>
              <w:t>High-single-digit %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w:t>
            </w:r>
          </w:p>
        </w:tc>
      </w:tr>
    </w:tbl>
    <w:p>
      <w:r>
        <w:rPr>
          <w:rFonts w:ascii="Calibri" w:hAnsi="Calibri"/>
          <w:color w:val="525866"/>
          <w:sz w:val="22"/>
        </w:rPr>
        <w:t>Estimates have drifted modestly higher since the Q1 print, led by MIS revenue (+1.5% for Q2) and EPS (+1.9% for Q2), consistent with a constructive issuance environment and recovering spreads. The revision trajectory is positive but shallow — no dramatic re-rating of expectations — suggesting the Street is calibrated to guidance rather than pricing in a significant beat.</w:t>
      </w:r>
    </w:p>
    <w:p>
      <w:r>
        <w:rPr>
          <w:rFonts w:ascii="Calibri" w:hAnsi="Calibri"/>
          <w:color w:val="525866"/>
          <w:sz w:val="22"/>
        </w:rPr>
        <w:t>Source: Visible Alpha Consensus and Actuals Data. Baseline as of April 29, 2026 (~5 trading days post Q1 earnings).</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b/>
          <w:color w:val="525866"/>
          <w:sz w:val="22"/>
        </w:rPr>
        <w:t xml:space="preserve">MCO has underperformed XLF since Q1 earnings but has recovered sharply in July, driven by multiple re-expansion as the issuance outlook improved. </w:t>
      </w:r>
      <w:r>
        <w:rPr>
          <w:rFonts w:ascii="Calibri" w:hAnsi="Calibri"/>
          <w:color w:val="525866"/>
          <w:sz w:val="22"/>
        </w:rPr>
        <w:t>The 6-month de-rating (P/E from ~35x to ~28x NTM) has created a more reasonable entry point, but the stock is not cheap.</w:t>
      </w:r>
    </w:p>
    <w:p>
      <w:pPr>
        <w:pStyle w:val="Heading3"/>
      </w:pPr>
      <w:r>
        <w:rPr>
          <w:rFonts w:ascii="Calibri" w:hAnsi="Calibri"/>
          <w:b/>
          <w:color w:val="3B4259"/>
          <w:sz w:val="24"/>
        </w:rPr>
        <w:t>MCO vs. XLF vs. S&amp;P 500 — Indexed Performance Since April 22, 2026 (Last Earnings Date)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MCO (Indexed)</w:t>
            </w:r>
          </w:p>
        </w:tc>
        <w:tc>
          <w:tcPr>
            <w:tcW w:type="dxa" w:w="2160"/>
            <w:shd w:val="clear" w:color="auto" w:fill="3B4259"/>
          </w:tcPr>
          <w:p>
            <w:r>
              <w:rPr>
                <w:rFonts w:ascii="Calibri" w:hAnsi="Calibri"/>
                <w:b/>
                <w:color w:val="FFFFFF"/>
                <w:sz w:val="22"/>
              </w:rPr>
              <w:t>XLF (Indexed)</w:t>
            </w:r>
          </w:p>
        </w:tc>
        <w:tc>
          <w:tcPr>
            <w:tcW w:type="dxa" w:w="2160"/>
            <w:shd w:val="clear" w:color="auto" w:fill="3B4259"/>
          </w:tcPr>
          <w:p>
            <w:r>
              <w:rPr>
                <w:rFonts w:ascii="Calibri" w:hAnsi="Calibri"/>
                <w:b/>
                <w:color w:val="FFFFFF"/>
                <w:sz w:val="22"/>
              </w:rPr>
              <w:t>SPY (Indexed)</w:t>
            </w:r>
          </w:p>
        </w:tc>
      </w:tr>
      <w:tr>
        <w:tc>
          <w:tcPr>
            <w:tcW w:type="dxa" w:w="2160"/>
          </w:tcPr>
          <w:p>
            <w:r>
              <w:rPr>
                <w:rFonts w:ascii="Calibri" w:hAnsi="Calibri"/>
                <w:sz w:val="22"/>
              </w:rPr>
              <w:t>Apr 22 (Base)</w:t>
            </w:r>
          </w:p>
        </w:tc>
        <w:tc>
          <w:tcPr>
            <w:tcW w:type="dxa" w:w="2160"/>
          </w:tcPr>
          <w:p>
            <w:r>
              <w:rPr>
                <w:rFonts w:ascii="Calibri" w:hAnsi="Calibri"/>
                <w:sz w:val="22"/>
              </w:rPr>
              <w:t>100.0</w:t>
            </w:r>
          </w:p>
        </w:tc>
        <w:tc>
          <w:tcPr>
            <w:tcW w:type="dxa" w:w="2160"/>
          </w:tcPr>
          <w:p>
            <w:r>
              <w:rPr>
                <w:rFonts w:ascii="Calibri" w:hAnsi="Calibri"/>
                <w:sz w:val="22"/>
              </w:rPr>
              <w:t>100.0</w:t>
            </w:r>
          </w:p>
        </w:tc>
        <w:tc>
          <w:tcPr>
            <w:tcW w:type="dxa" w:w="2160"/>
          </w:tcPr>
          <w:p>
            <w:r>
              <w:rPr>
                <w:rFonts w:ascii="Calibri" w:hAnsi="Calibri"/>
                <w:sz w:val="22"/>
              </w:rPr>
              <w:t>100.0</w:t>
            </w:r>
          </w:p>
        </w:tc>
      </w:tr>
      <w:tr>
        <w:tc>
          <w:tcPr>
            <w:tcW w:type="dxa" w:w="2160"/>
          </w:tcPr>
          <w:p>
            <w:r>
              <w:rPr>
                <w:rFonts w:ascii="Calibri" w:hAnsi="Calibri"/>
                <w:sz w:val="22"/>
              </w:rPr>
              <w:t>Apr 30</w:t>
            </w:r>
          </w:p>
        </w:tc>
        <w:tc>
          <w:tcPr>
            <w:tcW w:type="dxa" w:w="2160"/>
          </w:tcPr>
          <w:p>
            <w:r>
              <w:rPr>
                <w:rFonts w:ascii="Calibri" w:hAnsi="Calibri"/>
                <w:sz w:val="22"/>
              </w:rPr>
              <w:t>98.9</w:t>
            </w:r>
          </w:p>
        </w:tc>
        <w:tc>
          <w:tcPr>
            <w:tcW w:type="dxa" w:w="2160"/>
          </w:tcPr>
          <w:p>
            <w:r>
              <w:rPr>
                <w:rFonts w:ascii="Calibri" w:hAnsi="Calibri"/>
                <w:sz w:val="22"/>
              </w:rPr>
              <w:t>99.8</w:t>
            </w:r>
          </w:p>
        </w:tc>
        <w:tc>
          <w:tcPr>
            <w:tcW w:type="dxa" w:w="2160"/>
          </w:tcPr>
          <w:p>
            <w:r>
              <w:rPr>
                <w:rFonts w:ascii="Calibri" w:hAnsi="Calibri"/>
                <w:sz w:val="22"/>
              </w:rPr>
              <w:t>101.1</w:t>
            </w:r>
          </w:p>
        </w:tc>
      </w:tr>
      <w:tr>
        <w:tc>
          <w:tcPr>
            <w:tcW w:type="dxa" w:w="2160"/>
          </w:tcPr>
          <w:p>
            <w:r>
              <w:rPr>
                <w:rFonts w:ascii="Calibri" w:hAnsi="Calibri"/>
                <w:sz w:val="22"/>
              </w:rPr>
              <w:t>May 15</w:t>
            </w:r>
          </w:p>
        </w:tc>
        <w:tc>
          <w:tcPr>
            <w:tcW w:type="dxa" w:w="2160"/>
          </w:tcPr>
          <w:p>
            <w:r>
              <w:rPr>
                <w:rFonts w:ascii="Calibri" w:hAnsi="Calibri"/>
                <w:sz w:val="22"/>
              </w:rPr>
              <w:t>91.9</w:t>
            </w:r>
          </w:p>
        </w:tc>
        <w:tc>
          <w:tcPr>
            <w:tcW w:type="dxa" w:w="2160"/>
          </w:tcPr>
          <w:p>
            <w:r>
              <w:rPr>
                <w:rFonts w:ascii="Calibri" w:hAnsi="Calibri"/>
                <w:sz w:val="22"/>
              </w:rPr>
              <w:t>97.9</w:t>
            </w:r>
          </w:p>
        </w:tc>
        <w:tc>
          <w:tcPr>
            <w:tcW w:type="dxa" w:w="2160"/>
          </w:tcPr>
          <w:p>
            <w:r>
              <w:rPr>
                <w:rFonts w:ascii="Calibri" w:hAnsi="Calibri"/>
                <w:sz w:val="22"/>
              </w:rPr>
              <w:t>104.0</w:t>
            </w:r>
          </w:p>
        </w:tc>
      </w:tr>
      <w:tr>
        <w:tc>
          <w:tcPr>
            <w:tcW w:type="dxa" w:w="2160"/>
          </w:tcPr>
          <w:p>
            <w:r>
              <w:rPr>
                <w:rFonts w:ascii="Calibri" w:hAnsi="Calibri"/>
                <w:sz w:val="22"/>
              </w:rPr>
              <w:t>May 29</w:t>
            </w:r>
          </w:p>
        </w:tc>
        <w:tc>
          <w:tcPr>
            <w:tcW w:type="dxa" w:w="2160"/>
          </w:tcPr>
          <w:p>
            <w:r>
              <w:rPr>
                <w:rFonts w:ascii="Calibri" w:hAnsi="Calibri"/>
                <w:sz w:val="22"/>
              </w:rPr>
              <w:t>97.1</w:t>
            </w:r>
          </w:p>
        </w:tc>
        <w:tc>
          <w:tcPr>
            <w:tcW w:type="dxa" w:w="2160"/>
          </w:tcPr>
          <w:p>
            <w:r>
              <w:rPr>
                <w:rFonts w:ascii="Calibri" w:hAnsi="Calibri"/>
                <w:sz w:val="22"/>
              </w:rPr>
              <w:t>98.8</w:t>
            </w:r>
          </w:p>
        </w:tc>
        <w:tc>
          <w:tcPr>
            <w:tcW w:type="dxa" w:w="2160"/>
          </w:tcPr>
          <w:p>
            <w:r>
              <w:rPr>
                <w:rFonts w:ascii="Calibri" w:hAnsi="Calibri"/>
                <w:sz w:val="22"/>
              </w:rPr>
              <w:t>106.4</w:t>
            </w:r>
          </w:p>
        </w:tc>
      </w:tr>
      <w:tr>
        <w:tc>
          <w:tcPr>
            <w:tcW w:type="dxa" w:w="2160"/>
          </w:tcPr>
          <w:p>
            <w:r>
              <w:rPr>
                <w:rFonts w:ascii="Calibri" w:hAnsi="Calibri"/>
                <w:sz w:val="22"/>
              </w:rPr>
              <w:t>Jun 8 (AI Strategy Call)</w:t>
            </w:r>
          </w:p>
        </w:tc>
        <w:tc>
          <w:tcPr>
            <w:tcW w:type="dxa" w:w="2160"/>
          </w:tcPr>
          <w:p>
            <w:r>
              <w:rPr>
                <w:rFonts w:ascii="Calibri" w:hAnsi="Calibri"/>
                <w:sz w:val="22"/>
              </w:rPr>
              <w:t>95.1</w:t>
            </w:r>
          </w:p>
        </w:tc>
        <w:tc>
          <w:tcPr>
            <w:tcW w:type="dxa" w:w="2160"/>
          </w:tcPr>
          <w:p>
            <w:r>
              <w:rPr>
                <w:rFonts w:ascii="Calibri" w:hAnsi="Calibri"/>
                <w:sz w:val="22"/>
              </w:rPr>
              <w:t>99.5</w:t>
            </w:r>
          </w:p>
        </w:tc>
        <w:tc>
          <w:tcPr>
            <w:tcW w:type="dxa" w:w="2160"/>
          </w:tcPr>
          <w:p>
            <w:r>
              <w:rPr>
                <w:rFonts w:ascii="Calibri" w:hAnsi="Calibri"/>
                <w:sz w:val="22"/>
              </w:rPr>
              <w:t>103.9</w:t>
            </w:r>
          </w:p>
        </w:tc>
      </w:tr>
      <w:tr>
        <w:tc>
          <w:tcPr>
            <w:tcW w:type="dxa" w:w="2160"/>
          </w:tcPr>
          <w:p>
            <w:r>
              <w:rPr>
                <w:rFonts w:ascii="Calibri" w:hAnsi="Calibri"/>
                <w:sz w:val="22"/>
              </w:rPr>
              <w:t>Jun 30</w:t>
            </w:r>
          </w:p>
        </w:tc>
        <w:tc>
          <w:tcPr>
            <w:tcW w:type="dxa" w:w="2160"/>
          </w:tcPr>
          <w:p>
            <w:r>
              <w:rPr>
                <w:rFonts w:ascii="Calibri" w:hAnsi="Calibri"/>
                <w:sz w:val="22"/>
              </w:rPr>
              <w:t>97.1</w:t>
            </w:r>
          </w:p>
        </w:tc>
        <w:tc>
          <w:tcPr>
            <w:tcW w:type="dxa" w:w="2160"/>
          </w:tcPr>
          <w:p>
            <w:r>
              <w:rPr>
                <w:rFonts w:ascii="Calibri" w:hAnsi="Calibri"/>
                <w:sz w:val="22"/>
              </w:rPr>
              <w:t>102.7</w:t>
            </w:r>
          </w:p>
        </w:tc>
        <w:tc>
          <w:tcPr>
            <w:tcW w:type="dxa" w:w="2160"/>
          </w:tcPr>
          <w:p>
            <w:r>
              <w:rPr>
                <w:rFonts w:ascii="Calibri" w:hAnsi="Calibri"/>
                <w:sz w:val="22"/>
              </w:rPr>
              <w:t>105.0</w:t>
            </w:r>
          </w:p>
        </w:tc>
      </w:tr>
      <w:tr>
        <w:tc>
          <w:tcPr>
            <w:tcW w:type="dxa" w:w="2160"/>
          </w:tcPr>
          <w:p>
            <w:r>
              <w:rPr>
                <w:rFonts w:ascii="Calibri" w:hAnsi="Calibri"/>
                <w:sz w:val="22"/>
              </w:rPr>
              <w:t>Jul 2 (Trade Deal News)</w:t>
            </w:r>
          </w:p>
        </w:tc>
        <w:tc>
          <w:tcPr>
            <w:tcW w:type="dxa" w:w="2160"/>
          </w:tcPr>
          <w:p>
            <w:r>
              <w:rPr>
                <w:rFonts w:ascii="Calibri" w:hAnsi="Calibri"/>
                <w:sz w:val="22"/>
              </w:rPr>
              <w:t>105.1</w:t>
            </w:r>
          </w:p>
        </w:tc>
        <w:tc>
          <w:tcPr>
            <w:tcW w:type="dxa" w:w="2160"/>
          </w:tcPr>
          <w:p>
            <w:r>
              <w:rPr>
                <w:rFonts w:ascii="Calibri" w:hAnsi="Calibri"/>
                <w:sz w:val="22"/>
              </w:rPr>
              <w:t>106.5</w:t>
            </w:r>
          </w:p>
        </w:tc>
        <w:tc>
          <w:tcPr>
            <w:tcW w:type="dxa" w:w="2160"/>
          </w:tcPr>
          <w:p>
            <w:r>
              <w:rPr>
                <w:rFonts w:ascii="Calibri" w:hAnsi="Calibri"/>
                <w:sz w:val="22"/>
              </w:rPr>
              <w:t>104.7</w:t>
            </w:r>
          </w:p>
        </w:tc>
      </w:tr>
      <w:tr>
        <w:tc>
          <w:tcPr>
            <w:tcW w:type="dxa" w:w="2160"/>
          </w:tcPr>
          <w:p>
            <w:r>
              <w:rPr>
                <w:rFonts w:ascii="Calibri" w:hAnsi="Calibri"/>
                <w:sz w:val="22"/>
              </w:rPr>
              <w:t>Jul 16 (Recent High)</w:t>
            </w:r>
          </w:p>
        </w:tc>
        <w:tc>
          <w:tcPr>
            <w:tcW w:type="dxa" w:w="2160"/>
          </w:tcPr>
          <w:p>
            <w:r>
              <w:rPr>
                <w:rFonts w:ascii="Calibri" w:hAnsi="Calibri"/>
                <w:sz w:val="22"/>
              </w:rPr>
              <w:t>111.2</w:t>
            </w:r>
          </w:p>
        </w:tc>
        <w:tc>
          <w:tcPr>
            <w:tcW w:type="dxa" w:w="2160"/>
          </w:tcPr>
          <w:p>
            <w:r>
              <w:rPr>
                <w:rFonts w:ascii="Calibri" w:hAnsi="Calibri"/>
                <w:sz w:val="22"/>
              </w:rPr>
              <w:t>108.7</w:t>
            </w:r>
          </w:p>
        </w:tc>
        <w:tc>
          <w:tcPr>
            <w:tcW w:type="dxa" w:w="2160"/>
          </w:tcPr>
          <w:p>
            <w:r>
              <w:rPr>
                <w:rFonts w:ascii="Calibri" w:hAnsi="Calibri"/>
                <w:sz w:val="22"/>
              </w:rPr>
              <w:t>105.6</w:t>
            </w:r>
          </w:p>
        </w:tc>
      </w:tr>
      <w:tr>
        <w:tc>
          <w:tcPr>
            <w:tcW w:type="dxa" w:w="2160"/>
          </w:tcPr>
          <w:p>
            <w:r>
              <w:rPr>
                <w:rFonts w:ascii="Calibri" w:hAnsi="Calibri"/>
                <w:sz w:val="22"/>
              </w:rPr>
              <w:t>Jul 21 (Latest)</w:t>
            </w:r>
          </w:p>
        </w:tc>
        <w:tc>
          <w:tcPr>
            <w:tcW w:type="dxa" w:w="2160"/>
          </w:tcPr>
          <w:p>
            <w:r>
              <w:rPr>
                <w:rFonts w:ascii="Calibri" w:hAnsi="Calibri"/>
                <w:sz w:val="22"/>
              </w:rPr>
              <w:t>105.1</w:t>
            </w:r>
          </w:p>
        </w:tc>
        <w:tc>
          <w:tcPr>
            <w:tcW w:type="dxa" w:w="2160"/>
          </w:tcPr>
          <w:p>
            <w:r>
              <w:rPr>
                <w:rFonts w:ascii="Calibri" w:hAnsi="Calibri"/>
                <w:sz w:val="22"/>
              </w:rPr>
              <w:t>107.5</w:t>
            </w:r>
          </w:p>
        </w:tc>
        <w:tc>
          <w:tcPr>
            <w:tcW w:type="dxa" w:w="2160"/>
          </w:tcPr>
          <w:p>
            <w:r>
              <w:rPr>
                <w:rFonts w:ascii="Calibri" w:hAnsi="Calibri"/>
                <w:sz w:val="22"/>
              </w:rPr>
              <w:t>105.2</w:t>
            </w:r>
          </w:p>
        </w:tc>
      </w:tr>
    </w:tbl>
    <w:p>
      <w:r>
        <w:rPr>
          <w:rFonts w:ascii="Calibri" w:hAnsi="Calibri"/>
          <w:color w:val="525866"/>
          <w:sz w:val="22"/>
        </w:rPr>
        <w:t>Note: Indexed to 100 at April 22, 2026 close ($466.72 for MCO, $52.21 for XLF, $711.21 for SPY). MCO closed at $490.77 on July 21, 2026, up ~5.1% since last earnings. XLF up ~7.5%; SPY up ~5.2% over the same period. MCO underperformed XLF through most of the period but has recovered sharply in July. Key events: Bernstein Conference (May 28), AI Strategy Call (June 8), sharp rally on July 1–2 (trade deal optimism / spread tightening). Source: Stock Price Data (Yahoo Finance).</w:t>
      </w:r>
    </w:p>
    <w:p>
      <w:r>
        <w:rPr>
          <w:rFonts w:ascii="Calibri" w:hAnsi="Calibri"/>
          <w:b/>
          <w:color w:val="525866"/>
          <w:sz w:val="22"/>
        </w:rPr>
        <w:t xml:space="preserve">Valuation Context: </w:t>
      </w:r>
      <w:r>
        <w:rPr>
          <w:rFonts w:ascii="Calibri" w:hAnsi="Calibri"/>
          <w:color w:val="525866"/>
          <w:sz w:val="22"/>
        </w:rPr>
        <w:t>MCO trades at ~28.4x NTM P/E and ~20.6x NTM EV/EBITDA as of July 21, 2026 — a meaningful de-rating from the 35x+ P/E seen six months ago. The 12-month P/E multiple has contracted ~23%, while EPS estimates have risen modestly, meaning the stock’s flat 12-month performance (-1.8%) is entirely a multiple story. The current multiple is more reasonable but still commands a premium to peers, leaving limited margin for error on the print. Source: Stock Performance Decomposition Data.</w:t>
      </w:r>
    </w:p>
    <w:p>
      <w:r>
        <w:br w:type="page"/>
      </w:r>
    </w:p>
    <w:p>
      <w:pPr>
        <w:pStyle w:val="Heading2"/>
      </w:pPr>
      <w:r>
        <w:rPr>
          <w:rFonts w:ascii="Calibri" w:hAnsi="Calibri"/>
          <w:b/>
          <w:color w:val="3B4259"/>
          <w:sz w:val="28"/>
        </w:rPr>
        <w:t>6. Peer Commentaries &amp; Current-Quarter Read-Throughs</w:t>
      </w:r>
    </w:p>
    <w:p>
      <w:r>
        <w:rPr>
          <w:rFonts w:ascii="Calibri" w:hAnsi="Calibri"/>
          <w:b/>
          <w:color w:val="525866"/>
          <w:sz w:val="22"/>
        </w:rPr>
        <w:t xml:space="preserve">Key Takeaway: </w:t>
      </w:r>
      <w:r>
        <w:rPr>
          <w:rFonts w:ascii="Calibri" w:hAnsi="Calibri"/>
          <w:b/>
          <w:color w:val="525866"/>
          <w:sz w:val="22"/>
        </w:rPr>
        <w:t xml:space="preserve">Peer commentary from the past 60 days is broadly constructive for MCO’s Q2 2026 print. </w:t>
      </w:r>
      <w:r>
        <w:rPr>
          <w:rFonts w:ascii="Calibri" w:hAnsi="Calibri"/>
          <w:color w:val="525866"/>
          <w:sz w:val="22"/>
        </w:rPr>
        <w:t>S&amp;P Global flagged potential upside to its own issuance forecast if hyperscaler debt issuance continues at Q1’s pace; MSCI reported 57% private assets recurring net new sales growth and confirmed the Moody’s partnership is active; FactSet’s Q3 print showed AI-driven data demand accelerating sharply, a direct read-through for MA.</w:t>
      </w:r>
    </w:p>
    <w:p>
      <w:r>
        <w:rPr>
          <w:rFonts w:ascii="Calibri" w:hAnsi="Calibri"/>
          <w:i/>
          <w:color w:val="525866"/>
          <w:sz w:val="22"/>
        </w:rPr>
        <w:t>Note: Only commentary from the past 60 days (May 21 – July 21, 2026) that addresses the peer’s then-current or forward quarter is included below. Retrospective commentary about prior-quarter results alone is excluded.</w:t>
      </w:r>
    </w:p>
    <w:p>
      <w:pPr>
        <w:pStyle w:val="Heading3"/>
      </w:pPr>
      <w:r>
        <w:rPr>
          <w:rFonts w:ascii="Calibri" w:hAnsi="Calibri"/>
          <w:b/>
          <w:color w:val="3B4259"/>
          <w:sz w:val="24"/>
        </w:rPr>
        <w:t>S&amp;P Global (SPGI) — Bernstein Strategic Decisions Conference, May 27, 2026</w:t>
      </w:r>
    </w:p>
    <w:p>
      <w:r>
        <w:rPr>
          <w:rFonts w:ascii="Calibri" w:hAnsi="Calibri"/>
          <w:color w:val="525866"/>
          <w:sz w:val="22"/>
        </w:rPr>
        <w:t>Theme: Ratings Issuance / Macro Outlook (Q2 2026 &amp; FY 2026 Forward)</w:t>
      </w:r>
    </w:p>
    <w:p>
      <w:pPr>
        <w:pStyle w:val="ListBullet"/>
        <w:ind w:left="360" w:hanging="360"/>
      </w:pPr>
      <w:r>
        <w:rPr>
          <w:rFonts w:ascii="Calibri" w:hAnsi="Calibri"/>
          <w:b/>
          <w:color w:val="525866"/>
          <w:sz w:val="22"/>
        </w:rPr>
        <w:t xml:space="preserve">Issuance upside scenario: </w:t>
      </w:r>
      <w:r>
        <w:rPr>
          <w:rFonts w:ascii="Calibri" w:hAnsi="Calibri"/>
          <w:color w:val="525866"/>
          <w:sz w:val="22"/>
        </w:rPr>
        <w:t xml:space="preserve">SPGI CEO Martina Cheung stated that if issuance were “much higher than we imagined” or U.S. equity markets outperformed, there is “a possibility that we could see some outperformance on the outlook for this year in Ratings.” She cited a “very strong maturity wall” of ~$8 trillion through 2028 as a structural tailwind. </w:t>
      </w:r>
    </w:p>
    <w:p>
      <w:pPr>
        <w:pStyle w:val="ListBullet"/>
        <w:ind w:left="360" w:hanging="360"/>
      </w:pPr>
      <w:r>
        <w:rPr>
          <w:rFonts w:ascii="Calibri" w:hAnsi="Calibri"/>
          <w:b/>
          <w:color w:val="525866"/>
          <w:sz w:val="22"/>
        </w:rPr>
        <w:t xml:space="preserve">Read-through for MCO: </w:t>
      </w:r>
      <w:r>
        <w:rPr>
          <w:rFonts w:ascii="Calibri" w:hAnsi="Calibri"/>
          <w:color w:val="525866"/>
          <w:sz w:val="22"/>
        </w:rPr>
        <w:t>Constructive. If SPGI sees potential upside to its own ratings revenue, the same structural drivers (refinancing walls, AI-related issuance, private credit) apply to MCO’s MIS segment. The $8T maturity wall through 2028 underpins medium-term MIS revenue visibility.</w:t>
      </w:r>
    </w:p>
    <w:p>
      <w:pPr>
        <w:pStyle w:val="ListBullet"/>
        <w:ind w:left="360" w:hanging="360"/>
      </w:pPr>
      <w:r>
        <w:rPr>
          <w:rFonts w:ascii="Calibri" w:hAnsi="Calibri"/>
          <w:b/>
          <w:color w:val="525866"/>
          <w:sz w:val="22"/>
        </w:rPr>
        <w:t xml:space="preserve">AI-ready data pricing: </w:t>
      </w:r>
      <w:r>
        <w:rPr>
          <w:rFonts w:ascii="Calibri" w:hAnsi="Calibri"/>
          <w:color w:val="525866"/>
          <w:sz w:val="22"/>
        </w:rPr>
        <w:t>Cheung noted clients are “willing to pay anywhere from 35% to 45% more to get the AI-ready version of a data set at the renewal.” Market Intelligence growth is “running 30% higher for AI customers versus non-AI customers.”</w:t>
      </w:r>
    </w:p>
    <w:p>
      <w:pPr>
        <w:pStyle w:val="ListBullet"/>
        <w:ind w:left="360" w:hanging="360"/>
      </w:pPr>
      <w:r>
        <w:rPr>
          <w:rFonts w:ascii="Calibri" w:hAnsi="Calibri"/>
          <w:b/>
          <w:color w:val="525866"/>
          <w:sz w:val="22"/>
        </w:rPr>
        <w:t xml:space="preserve">Read-through for MCO: </w:t>
      </w:r>
      <w:r>
        <w:rPr>
          <w:rFonts w:ascii="Calibri" w:hAnsi="Calibri"/>
          <w:color w:val="525866"/>
          <w:sz w:val="22"/>
        </w:rPr>
        <w:t>Positive for MA ARR. If SPGI is achieving 35–45% pricing uplifts on AI-ready data renewals, Moody’s Analytics’ similar AI-enabled data products (MCPs, Connected Intelligence) should command comparable premiums, supporting ARR acceleration.</w:t>
      </w:r>
    </w:p>
    <w:p>
      <w:pPr>
        <w:pStyle w:val="ListBullet"/>
        <w:ind w:left="360" w:hanging="360"/>
      </w:pPr>
      <w:r>
        <w:rPr>
          <w:rFonts w:ascii="Calibri" w:hAnsi="Calibri"/>
          <w:b/>
          <w:color w:val="525866"/>
          <w:sz w:val="22"/>
        </w:rPr>
        <w:t xml:space="preserve">Private credit: </w:t>
      </w:r>
      <w:r>
        <w:rPr>
          <w:rFonts w:ascii="Calibri" w:hAnsi="Calibri"/>
          <w:color w:val="525866"/>
          <w:sz w:val="22"/>
        </w:rPr>
        <w:t>Cheung confirmed “additional scrutiny is really increasing the demand for high-quality independent opinions” in private credit, with SPGI’s private credit ratings business growing 25% in Q1 and now a “hundreds of millions of dollars” business.</w:t>
      </w:r>
    </w:p>
    <w:p>
      <w:pPr>
        <w:pStyle w:val="ListBullet"/>
        <w:ind w:left="360" w:hanging="360"/>
      </w:pPr>
      <w:r>
        <w:rPr>
          <w:rFonts w:ascii="Calibri" w:hAnsi="Calibri"/>
          <w:b/>
          <w:color w:val="525866"/>
          <w:sz w:val="22"/>
        </w:rPr>
        <w:t xml:space="preserve">Read-through for MCO: </w:t>
      </w:r>
      <w:r>
        <w:rPr>
          <w:rFonts w:ascii="Calibri" w:hAnsi="Calibri"/>
          <w:color w:val="525866"/>
          <w:sz w:val="22"/>
        </w:rPr>
        <w:t>Directly positive for MIS. MCO’s private credit-related ratings revenue grew 80%+ in Q1 2026 — SPGI’s 25% growth confirms the market is expanding, not just share-shifting.</w:t>
      </w:r>
    </w:p>
    <w:p>
      <w:pPr>
        <w:pStyle w:val="Heading3"/>
      </w:pPr>
      <w:r>
        <w:rPr>
          <w:rFonts w:ascii="Calibri" w:hAnsi="Calibri"/>
          <w:b/>
          <w:color w:val="3B4259"/>
          <w:sz w:val="24"/>
        </w:rPr>
        <w:t>S&amp;P Global (SPGI) — Mizuho Technology Conference, June 10, 2026</w:t>
      </w:r>
    </w:p>
    <w:p>
      <w:r>
        <w:rPr>
          <w:rFonts w:ascii="Calibri" w:hAnsi="Calibri"/>
          <w:color w:val="525866"/>
          <w:sz w:val="22"/>
        </w:rPr>
        <w:t>Theme: Issuance Outlook, AI Data Demand, Private Markets (Q2 2026 &amp; FY 2026 Forward)</w:t>
      </w:r>
    </w:p>
    <w:p>
      <w:pPr>
        <w:pStyle w:val="ListBullet"/>
        <w:ind w:left="360" w:hanging="360"/>
      </w:pPr>
      <w:r>
        <w:rPr>
          <w:rFonts w:ascii="Calibri" w:hAnsi="Calibri"/>
          <w:b/>
          <w:color w:val="525866"/>
          <w:sz w:val="22"/>
        </w:rPr>
        <w:t xml:space="preserve">Hyperscaler issuance upside: </w:t>
      </w:r>
      <w:r>
        <w:rPr>
          <w:rFonts w:ascii="Calibri" w:hAnsi="Calibri"/>
          <w:color w:val="525866"/>
          <w:sz w:val="22"/>
        </w:rPr>
        <w:t>SPGI IR noted its 2026 issuance forecast “only assumes that less than half of the announced CapEx from the hyperscalers actually comes to the market funded by debt.” If half were funded by debt, that would be “a point or 2 of upside” to the issuance forecast. “If we were to see the pace of debt issuance in the first quarter continue through the rest of the year, that’s more than we’re assuming in our forecast, for sure.”</w:t>
      </w:r>
    </w:p>
    <w:p>
      <w:pPr>
        <w:pStyle w:val="ListBullet"/>
        <w:ind w:left="360" w:hanging="360"/>
      </w:pPr>
      <w:r>
        <w:rPr>
          <w:rFonts w:ascii="Calibri" w:hAnsi="Calibri"/>
          <w:b/>
          <w:color w:val="525866"/>
          <w:sz w:val="22"/>
        </w:rPr>
        <w:t xml:space="preserve">Read-through for MCO: </w:t>
      </w:r>
      <w:r>
        <w:rPr>
          <w:rFonts w:ascii="Calibri" w:hAnsi="Calibri"/>
          <w:color w:val="525866"/>
          <w:sz w:val="22"/>
        </w:rPr>
        <w:t>Positive for MIS Q2. MCO similarly flagged hyperscaler issuance as a key driver in Q1 (record $100B+ in AI-related financings). If the pace continues, MIS revenue could surprise to the upside vs. the low-to-mid teens guidance.</w:t>
      </w:r>
    </w:p>
    <w:p>
      <w:pPr>
        <w:pStyle w:val="ListBullet"/>
        <w:ind w:left="360" w:hanging="360"/>
      </w:pPr>
      <w:r>
        <w:rPr>
          <w:rFonts w:ascii="Calibri" w:hAnsi="Calibri"/>
          <w:b/>
          <w:color w:val="525866"/>
          <w:sz w:val="22"/>
        </w:rPr>
        <w:t xml:space="preserve">API call volume surge: </w:t>
      </w:r>
      <w:r>
        <w:rPr>
          <w:rFonts w:ascii="Calibri" w:hAnsi="Calibri"/>
          <w:color w:val="525866"/>
          <w:sz w:val="22"/>
        </w:rPr>
        <w:t>SPGI reported API call volumes through MCP connections increased “500% quarter-over-quarter, 100% month-over-month.” Net renewal rates increased 100 basis points last quarter.</w:t>
      </w:r>
    </w:p>
    <w:p>
      <w:pPr>
        <w:pStyle w:val="ListBullet"/>
        <w:ind w:left="360" w:hanging="360"/>
      </w:pPr>
      <w:r>
        <w:rPr>
          <w:rFonts w:ascii="Calibri" w:hAnsi="Calibri"/>
          <w:b/>
          <w:color w:val="525866"/>
          <w:sz w:val="22"/>
        </w:rPr>
        <w:t xml:space="preserve">Read-through for MCO: </w:t>
      </w:r>
      <w:r>
        <w:rPr>
          <w:rFonts w:ascii="Calibri" w:hAnsi="Calibri"/>
          <w:color w:val="525866"/>
          <w:sz w:val="22"/>
        </w:rPr>
        <w:t>Positive for MA. MCO’s own MCP rollout (Anthropic, AWS, Microsoft, OpenAI) is at an earlier stage, but SPGI’s data confirms the market is rapidly adopting AI-native data consumption — a leading indicator for MCO’s AI monetization pipeline.</w:t>
      </w:r>
    </w:p>
    <w:p>
      <w:pPr>
        <w:pStyle w:val="ListBullet"/>
        <w:ind w:left="360" w:hanging="360"/>
      </w:pPr>
      <w:r>
        <w:rPr>
          <w:rFonts w:ascii="Calibri" w:hAnsi="Calibri"/>
          <w:b/>
          <w:color w:val="525866"/>
          <w:sz w:val="22"/>
        </w:rPr>
        <w:t xml:space="preserve">Maturity walls: </w:t>
      </w:r>
      <w:r>
        <w:rPr>
          <w:rFonts w:ascii="Calibri" w:hAnsi="Calibri"/>
          <w:color w:val="525866"/>
          <w:sz w:val="22"/>
        </w:rPr>
        <w:t>SPGI noted the “3-year forward cumulative maturity wall is still up double digits from where it was last year,” particularly for 2027 and 2028 debt issued at low 2020–2021 rates. SPGI does not include material pull-forward in its 2026 guidance, but “eventually, that debt comes.”</w:t>
      </w:r>
    </w:p>
    <w:p>
      <w:pPr>
        <w:pStyle w:val="ListBullet"/>
        <w:ind w:left="360" w:hanging="360"/>
      </w:pPr>
      <w:r>
        <w:rPr>
          <w:rFonts w:ascii="Calibri" w:hAnsi="Calibri"/>
          <w:b/>
          <w:color w:val="525866"/>
          <w:sz w:val="22"/>
        </w:rPr>
        <w:t xml:space="preserve">Read-through for MCO: </w:t>
      </w:r>
      <w:r>
        <w:rPr>
          <w:rFonts w:ascii="Calibri" w:hAnsi="Calibri"/>
          <w:color w:val="525866"/>
          <w:sz w:val="22"/>
        </w:rPr>
        <w:t>Medium-term positive. Structural refinancing demand is building; any pull-forward into Q2 2026 would be incremental upside to MCO’s MIS revenue.</w:t>
      </w:r>
    </w:p>
    <w:p>
      <w:pPr>
        <w:pStyle w:val="Heading3"/>
      </w:pPr>
      <w:r>
        <w:rPr>
          <w:rFonts w:ascii="Calibri" w:hAnsi="Calibri"/>
          <w:b/>
          <w:color w:val="3B4259"/>
          <w:sz w:val="24"/>
        </w:rPr>
        <w:t>MSCI — Bernstein Strategic Decisions Conference, May 28, 2026</w:t>
      </w:r>
    </w:p>
    <w:p>
      <w:r>
        <w:rPr>
          <w:rFonts w:ascii="Calibri" w:hAnsi="Calibri"/>
          <w:color w:val="525866"/>
          <w:sz w:val="22"/>
        </w:rPr>
        <w:t>Theme: Private Assets, AI Demand, Index Momentum (Q2 2026 Forward)</w:t>
      </w:r>
    </w:p>
    <w:p>
      <w:pPr>
        <w:pStyle w:val="ListBullet"/>
        <w:ind w:left="360" w:hanging="360"/>
      </w:pPr>
      <w:r>
        <w:rPr>
          <w:rFonts w:ascii="Calibri" w:hAnsi="Calibri"/>
          <w:b/>
          <w:color w:val="525866"/>
          <w:sz w:val="22"/>
        </w:rPr>
        <w:t xml:space="preserve">Private assets acceleration: </w:t>
      </w:r>
      <w:r>
        <w:rPr>
          <w:rFonts w:ascii="Calibri" w:hAnsi="Calibri"/>
          <w:color w:val="525866"/>
          <w:sz w:val="22"/>
        </w:rPr>
        <w:t>MSCI CFO Andrew Wiechmann noted “some acceleration… in private assets and PCS, particularly,” with PCS subscription run rate growth accelerating “now for the last couple of quarters.” He explicitly cited “concerns around private credit exposure and private credit portfolios” as a driver of strong engagement.</w:t>
      </w:r>
    </w:p>
    <w:p>
      <w:pPr>
        <w:pStyle w:val="ListBullet"/>
        <w:ind w:left="360" w:hanging="360"/>
      </w:pPr>
      <w:r>
        <w:rPr>
          <w:rFonts w:ascii="Calibri" w:hAnsi="Calibri"/>
          <w:b/>
          <w:color w:val="525866"/>
          <w:sz w:val="22"/>
        </w:rPr>
        <w:t xml:space="preserve">Read-through for MCO: </w:t>
      </w:r>
      <w:r>
        <w:rPr>
          <w:rFonts w:ascii="Calibri" w:hAnsi="Calibri"/>
          <w:color w:val="525866"/>
          <w:sz w:val="22"/>
        </w:rPr>
        <w:t>Positive for both MIS and MA. MSCI’s acceleration in private assets confirms growing institutional demand for private credit analytics and risk assessment — directly benefiting MCO’s private credit ratings and MA’s Decision Solutions (KYC, banking).</w:t>
      </w:r>
    </w:p>
    <w:p>
      <w:pPr>
        <w:pStyle w:val="ListBullet"/>
        <w:ind w:left="360" w:hanging="360"/>
      </w:pPr>
      <w:r>
        <w:rPr>
          <w:rFonts w:ascii="Calibri" w:hAnsi="Calibri"/>
          <w:b/>
          <w:color w:val="525866"/>
          <w:sz w:val="22"/>
        </w:rPr>
        <w:t xml:space="preserve">Moody’s partnership confirmed: </w:t>
      </w:r>
      <w:r>
        <w:rPr>
          <w:rFonts w:ascii="Calibri" w:hAnsi="Calibri"/>
          <w:color w:val="525866"/>
          <w:sz w:val="22"/>
        </w:rPr>
        <w:t>Wiechmann stated: “We have a partnership with Moody’s that allows us to do private credit risk scoring for clients.”</w:t>
      </w:r>
    </w:p>
    <w:p>
      <w:pPr>
        <w:pStyle w:val="ListBullet"/>
        <w:ind w:left="360" w:hanging="360"/>
      </w:pPr>
      <w:r>
        <w:rPr>
          <w:rFonts w:ascii="Calibri" w:hAnsi="Calibri"/>
          <w:b/>
          <w:color w:val="525866"/>
          <w:sz w:val="22"/>
        </w:rPr>
        <w:t xml:space="preserve">Read-through for MCO: </w:t>
      </w:r>
      <w:r>
        <w:rPr>
          <w:rFonts w:ascii="Calibri" w:hAnsi="Calibri"/>
          <w:color w:val="525866"/>
          <w:sz w:val="22"/>
        </w:rPr>
        <w:t>Direct positive. The MSCI-MCO private credit risk scoring partnership is active and generating revenue, confirming MCO’s MA segment is capturing the private credit analytics opportunity through multiple channels.</w:t>
      </w:r>
    </w:p>
    <w:p>
      <w:pPr>
        <w:pStyle w:val="ListBullet"/>
        <w:ind w:left="360" w:hanging="360"/>
      </w:pPr>
      <w:r>
        <w:rPr>
          <w:rFonts w:ascii="Calibri" w:hAnsi="Calibri"/>
          <w:b/>
          <w:color w:val="525866"/>
          <w:sz w:val="22"/>
        </w:rPr>
        <w:t xml:space="preserve">Index subscription run rate: </w:t>
      </w:r>
      <w:r>
        <w:rPr>
          <w:rFonts w:ascii="Calibri" w:hAnsi="Calibri"/>
          <w:color w:val="525866"/>
          <w:sz w:val="22"/>
        </w:rPr>
        <w:t>MSCI reported index subscription run rate growth “back above 10%” organically (10.4%), with custom indexes described as “just getting started” and “massive” in potential.</w:t>
      </w:r>
    </w:p>
    <w:p>
      <w:pPr>
        <w:pStyle w:val="ListBullet"/>
        <w:ind w:left="360" w:hanging="360"/>
      </w:pPr>
      <w:r>
        <w:rPr>
          <w:rFonts w:ascii="Calibri" w:hAnsi="Calibri"/>
          <w:b/>
          <w:color w:val="525866"/>
          <w:sz w:val="22"/>
        </w:rPr>
        <w:t xml:space="preserve">Read-through for MCO: </w:t>
      </w:r>
      <w:r>
        <w:rPr>
          <w:rFonts w:ascii="Calibri" w:hAnsi="Calibri"/>
          <w:color w:val="525866"/>
          <w:sz w:val="22"/>
        </w:rPr>
        <w:t>Indirect positive. Strong index demand signals a healthy, data-intensive investment landscape that supports demand for MCO’s credit research, risk models, and analytics.</w:t>
      </w:r>
    </w:p>
    <w:p>
      <w:pPr>
        <w:pStyle w:val="ListBullet"/>
        <w:ind w:left="360" w:hanging="360"/>
      </w:pPr>
      <w:r>
        <w:rPr>
          <w:rFonts w:ascii="Calibri" w:hAnsi="Calibri"/>
          <w:b/>
          <w:color w:val="525866"/>
          <w:sz w:val="22"/>
        </w:rPr>
        <w:t xml:space="preserve">AI as accelerant: </w:t>
      </w:r>
      <w:r>
        <w:rPr>
          <w:rFonts w:ascii="Calibri" w:hAnsi="Calibri"/>
          <w:color w:val="525866"/>
          <w:sz w:val="22"/>
        </w:rPr>
        <w:t>Wiechmann described AI as “an exceptional accelerant” that “dramatically enhanced our ability and reduce the cost of producing new solutions.”</w:t>
      </w:r>
    </w:p>
    <w:p>
      <w:pPr>
        <w:pStyle w:val="ListBullet"/>
        <w:ind w:left="360" w:hanging="360"/>
      </w:pPr>
      <w:r>
        <w:rPr>
          <w:rFonts w:ascii="Calibri" w:hAnsi="Calibri"/>
          <w:b/>
          <w:color w:val="525866"/>
          <w:sz w:val="22"/>
        </w:rPr>
        <w:t xml:space="preserve">Read-through for MCO: </w:t>
      </w:r>
      <w:r>
        <w:rPr>
          <w:rFonts w:ascii="Calibri" w:hAnsi="Calibri"/>
          <w:color w:val="525866"/>
          <w:sz w:val="22"/>
        </w:rPr>
        <w:t>Positive for MA margins. MCO management has made similar comments about AI-driven efficiency in product development and ratings operations — MSCI’s experience validates the margin expansion thesis.</w:t>
      </w:r>
    </w:p>
    <w:p>
      <w:pPr>
        <w:pStyle w:val="Heading3"/>
      </w:pPr>
      <w:r>
        <w:rPr>
          <w:rFonts w:ascii="Calibri" w:hAnsi="Calibri"/>
          <w:b/>
          <w:color w:val="3B4259"/>
          <w:sz w:val="24"/>
        </w:rPr>
        <w:t>MSCI — Private Assets Business Update Webinar, June 25, 2026</w:t>
      </w:r>
    </w:p>
    <w:p>
      <w:r>
        <w:rPr>
          <w:rFonts w:ascii="Calibri" w:hAnsi="Calibri"/>
          <w:color w:val="525866"/>
          <w:sz w:val="22"/>
        </w:rPr>
        <w:t>Theme: Private Credit / Private Assets Demand (Q2 2026 &amp; H2 2026 Forward)</w:t>
      </w:r>
    </w:p>
    <w:p>
      <w:pPr>
        <w:pStyle w:val="ListBullet"/>
        <w:ind w:left="360" w:hanging="360"/>
      </w:pPr>
      <w:r>
        <w:rPr>
          <w:rFonts w:ascii="Calibri" w:hAnsi="Calibri"/>
          <w:b/>
          <w:color w:val="525866"/>
          <w:sz w:val="22"/>
        </w:rPr>
        <w:t xml:space="preserve">PCS growth of 16%: </w:t>
      </w:r>
      <w:r>
        <w:rPr>
          <w:rFonts w:ascii="Calibri" w:hAnsi="Calibri"/>
          <w:color w:val="525866"/>
          <w:sz w:val="22"/>
        </w:rPr>
        <w:t>MSCI’s Private Capital Solutions business achieved 16% subscription run rate growth in the most recent quarter, with management stating they are “just getting started on the acceleration of private assets.”</w:t>
      </w:r>
    </w:p>
    <w:p>
      <w:pPr>
        <w:pStyle w:val="ListBullet"/>
        <w:ind w:left="360" w:hanging="360"/>
      </w:pPr>
      <w:r>
        <w:rPr>
          <w:rFonts w:ascii="Calibri" w:hAnsi="Calibri"/>
          <w:b/>
          <w:color w:val="525866"/>
          <w:sz w:val="22"/>
        </w:rPr>
        <w:t xml:space="preserve">Read-through for MCO: </w:t>
      </w:r>
      <w:r>
        <w:rPr>
          <w:rFonts w:ascii="Calibri" w:hAnsi="Calibri"/>
          <w:color w:val="525866"/>
          <w:sz w:val="22"/>
        </w:rPr>
        <w:t>Positive for MA. MSCI’s 16% PCS growth confirms robust institutional demand for private asset analytics. MCO’s MA Decision Solutions (KYC, banking) and the MSCI partnership are well-positioned to capture this demand.</w:t>
      </w:r>
    </w:p>
    <w:p>
      <w:pPr>
        <w:pStyle w:val="ListBullet"/>
        <w:ind w:left="360" w:hanging="360"/>
      </w:pPr>
      <w:r>
        <w:rPr>
          <w:rFonts w:ascii="Calibri" w:hAnsi="Calibri"/>
          <w:b/>
          <w:color w:val="525866"/>
          <w:sz w:val="22"/>
        </w:rPr>
        <w:t xml:space="preserve">Moody’s Analytics integration confirmed: </w:t>
      </w:r>
      <w:r>
        <w:rPr>
          <w:rFonts w:ascii="Calibri" w:hAnsi="Calibri"/>
          <w:color w:val="525866"/>
          <w:sz w:val="22"/>
        </w:rPr>
        <w:t>MSCI’s Head of Private Assets Luke Flemmer stated: “We did a partnership with Moody’s last year. So we integrate Moody’s Analytics into our platforms and we’re able to provide implied ratings on the loan books, which is quite powerful.”</w:t>
      </w:r>
    </w:p>
    <w:p>
      <w:pPr>
        <w:pStyle w:val="ListBullet"/>
        <w:ind w:left="360" w:hanging="360"/>
      </w:pPr>
      <w:r>
        <w:rPr>
          <w:rFonts w:ascii="Calibri" w:hAnsi="Calibri"/>
          <w:b/>
          <w:color w:val="525866"/>
          <w:sz w:val="22"/>
        </w:rPr>
        <w:t xml:space="preserve">Read-through for MCO: </w:t>
      </w:r>
      <w:r>
        <w:rPr>
          <w:rFonts w:ascii="Calibri" w:hAnsi="Calibri"/>
          <w:color w:val="525866"/>
          <w:sz w:val="22"/>
        </w:rPr>
        <w:t>Direct positive for MA revenue. The integration is live and generating value for MSCI clients, confirming MCO’s analytics are embedded in a growing private credit workflow.</w:t>
      </w:r>
    </w:p>
    <w:p>
      <w:pPr>
        <w:pStyle w:val="ListBullet"/>
        <w:ind w:left="360" w:hanging="360"/>
      </w:pPr>
      <w:r>
        <w:rPr>
          <w:rFonts w:ascii="Calibri" w:hAnsi="Calibri"/>
          <w:b/>
          <w:color w:val="525866"/>
          <w:sz w:val="22"/>
        </w:rPr>
        <w:t xml:space="preserve">Infrastructure as growth area: </w:t>
      </w:r>
      <w:r>
        <w:rPr>
          <w:rFonts w:ascii="Calibri" w:hAnsi="Calibri"/>
          <w:color w:val="525866"/>
          <w:sz w:val="22"/>
        </w:rPr>
        <w:t>MSCI identified infrastructure as a “very significant growth area” within private assets, with opportunistic and value-add real estate also seeing strong capital inflows.</w:t>
      </w:r>
    </w:p>
    <w:p>
      <w:pPr>
        <w:pStyle w:val="ListBullet"/>
        <w:ind w:left="360" w:hanging="360"/>
      </w:pPr>
      <w:r>
        <w:rPr>
          <w:rFonts w:ascii="Calibri" w:hAnsi="Calibri"/>
          <w:b/>
          <w:color w:val="525866"/>
          <w:sz w:val="22"/>
        </w:rPr>
        <w:t xml:space="preserve">Read-through for MCO: </w:t>
      </w:r>
      <w:r>
        <w:rPr>
          <w:rFonts w:ascii="Calibri" w:hAnsi="Calibri"/>
          <w:color w:val="525866"/>
          <w:sz w:val="22"/>
        </w:rPr>
        <w:t>Positive for MIS. Infrastructure and project finance is a key MIS revenue line (Public, Project &amp; Infrastructure Finance grew 8% in Q1 2026). Continued capital flows into infrastructure support sustained issuance demand.</w:t>
      </w:r>
    </w:p>
    <w:p>
      <w:pPr>
        <w:pStyle w:val="Heading3"/>
      </w:pPr>
      <w:r>
        <w:rPr>
          <w:rFonts w:ascii="Calibri" w:hAnsi="Calibri"/>
          <w:b/>
          <w:color w:val="3B4259"/>
          <w:sz w:val="24"/>
        </w:rPr>
        <w:t>MSCI — Q2 2026 Earnings Call, July 21, 2026</w:t>
      </w:r>
    </w:p>
    <w:p>
      <w:r>
        <w:rPr>
          <w:rFonts w:ascii="Calibri" w:hAnsi="Calibri"/>
          <w:color w:val="525866"/>
          <w:sz w:val="22"/>
        </w:rPr>
        <w:t>Theme: Q2 2026 Results &amp; H2 2026 Outlook (Same-Day Read-Through)</w:t>
      </w:r>
    </w:p>
    <w:p>
      <w:pPr>
        <w:pStyle w:val="ListBullet"/>
        <w:ind w:left="360" w:hanging="360"/>
      </w:pPr>
      <w:r>
        <w:rPr>
          <w:rFonts w:ascii="Calibri" w:hAnsi="Calibri"/>
          <w:b/>
          <w:color w:val="525866"/>
          <w:sz w:val="22"/>
        </w:rPr>
        <w:t xml:space="preserve">Strong Q2 results: </w:t>
      </w:r>
      <w:r>
        <w:rPr>
          <w:rFonts w:ascii="Calibri" w:hAnsi="Calibri"/>
          <w:color w:val="525866"/>
          <w:sz w:val="22"/>
        </w:rPr>
        <w:t>MSCI reported organic revenue growth of over 12%, adjusted EPS growth of nearly 19%, and adjusted EBITDA growth of 14% for Q2 2026. Total run rate growth was 12%, with ABF run rate of $948M growing 25% YoY. Organic subscription growth was over 8% with retention above 95%.</w:t>
      </w:r>
    </w:p>
    <w:p>
      <w:pPr>
        <w:pStyle w:val="ListBullet"/>
        <w:ind w:left="360" w:hanging="360"/>
      </w:pPr>
      <w:r>
        <w:rPr>
          <w:rFonts w:ascii="Calibri" w:hAnsi="Calibri"/>
          <w:b/>
          <w:color w:val="525866"/>
          <w:sz w:val="22"/>
        </w:rPr>
        <w:t xml:space="preserve">Read-through for MCO: </w:t>
      </w:r>
      <w:r>
        <w:rPr>
          <w:rFonts w:ascii="Calibri" w:hAnsi="Calibri"/>
          <w:color w:val="525866"/>
          <w:sz w:val="22"/>
        </w:rPr>
        <w:t>Positive for MA. MSCI’s strong subscription growth and high retention confirm robust demand for financial data and analytics. MCO’s MA segment, with similar subscription-heavy revenue, should benefit from the same tailwinds.</w:t>
      </w:r>
    </w:p>
    <w:p>
      <w:pPr>
        <w:pStyle w:val="ListBullet"/>
        <w:ind w:left="360" w:hanging="360"/>
      </w:pPr>
      <w:r>
        <w:rPr>
          <w:rFonts w:ascii="Calibri" w:hAnsi="Calibri"/>
          <w:b/>
          <w:color w:val="525866"/>
          <w:sz w:val="22"/>
        </w:rPr>
        <w:t xml:space="preserve">Private assets: 57% recurring net new sales growth: </w:t>
      </w:r>
      <w:r>
        <w:rPr>
          <w:rFonts w:ascii="Calibri" w:hAnsi="Calibri"/>
          <w:color w:val="525866"/>
          <w:sz w:val="22"/>
        </w:rPr>
        <w:t>MSCI achieved 57% recurring net new sales growth in private assets in Q2, with PCS subscription run rate accelerating to over 16%. New agreements with major pension funds and sovereign wealth funds were signed.</w:t>
      </w:r>
    </w:p>
    <w:p>
      <w:pPr>
        <w:pStyle w:val="ListBullet"/>
        <w:ind w:left="360" w:hanging="360"/>
      </w:pPr>
      <w:r>
        <w:rPr>
          <w:rFonts w:ascii="Calibri" w:hAnsi="Calibri"/>
          <w:b/>
          <w:color w:val="525866"/>
          <w:sz w:val="22"/>
        </w:rPr>
        <w:t xml:space="preserve">Read-through for MCO: </w:t>
      </w:r>
      <w:r>
        <w:rPr>
          <w:rFonts w:ascii="Calibri" w:hAnsi="Calibri"/>
          <w:color w:val="525866"/>
          <w:sz w:val="22"/>
        </w:rPr>
        <w:t>Directly positive for MCO’s private credit franchise. MSCI’s acceleration confirms the private assets market is in a strong growth phase, benefiting both MCO’s MIS private credit ratings and MA’s analytics offerings.</w:t>
      </w:r>
    </w:p>
    <w:p>
      <w:pPr>
        <w:pStyle w:val="ListBullet"/>
        <w:ind w:left="360" w:hanging="360"/>
      </w:pPr>
      <w:r>
        <w:rPr>
          <w:rFonts w:ascii="Calibri" w:hAnsi="Calibri"/>
          <w:b/>
          <w:color w:val="525866"/>
          <w:sz w:val="22"/>
        </w:rPr>
        <w:t xml:space="preserve">Sustainability headwind: </w:t>
      </w:r>
      <w:r>
        <w:rPr>
          <w:rFonts w:ascii="Calibri" w:hAnsi="Calibri"/>
          <w:color w:val="525866"/>
          <w:sz w:val="22"/>
        </w:rPr>
        <w:t>MSCI flagged a “protracted, cyclical downturn” in sustainability, with recurring net new sales expected to be “roughly zero to slightly negative” for the combined sustainability/climate segment in Q3 and Q4 2026. Cancels, “particularly in the Americas,” were a significant headwind.</w:t>
      </w:r>
    </w:p>
    <w:p>
      <w:pPr>
        <w:pStyle w:val="ListBullet"/>
        <w:ind w:left="360" w:hanging="360"/>
      </w:pPr>
      <w:r>
        <w:rPr>
          <w:rFonts w:ascii="Calibri" w:hAnsi="Calibri"/>
          <w:b/>
          <w:color w:val="525866"/>
          <w:sz w:val="22"/>
        </w:rPr>
        <w:t xml:space="preserve">Read-through for MCO: </w:t>
      </w:r>
      <w:r>
        <w:rPr>
          <w:rFonts w:ascii="Calibri" w:hAnsi="Calibri"/>
          <w:color w:val="525866"/>
          <w:sz w:val="22"/>
        </w:rPr>
        <w:t>Modest negative for MCO’s ESG Solutions (MESG) segment. If MSCI is seeing sustained ESG spend rightsizing, MCO’s ESG-related analytics revenue may face similar pressure. However, MESG is a small portion of MCO’s total revenue.</w:t>
      </w:r>
    </w:p>
    <w:p>
      <w:pPr>
        <w:pStyle w:val="ListBullet"/>
        <w:ind w:left="360" w:hanging="360"/>
      </w:pPr>
      <w:r>
        <w:rPr>
          <w:rFonts w:ascii="Calibri" w:hAnsi="Calibri"/>
          <w:b/>
          <w:color w:val="525866"/>
          <w:sz w:val="22"/>
        </w:rPr>
        <w:t xml:space="preserve">Bullish H2 outlook: </w:t>
      </w:r>
      <w:r>
        <w:rPr>
          <w:rFonts w:ascii="Calibri" w:hAnsi="Calibri"/>
          <w:color w:val="525866"/>
          <w:sz w:val="22"/>
        </w:rPr>
        <w:t>MSCI management stated they are “pretty bullish on our outlook” with a “very good pipeline… in the next few quarters.” The overall environment is “pretty positive among hedge funds and traders and even the active managers.”</w:t>
      </w:r>
    </w:p>
    <w:p>
      <w:pPr>
        <w:pStyle w:val="ListBullet"/>
        <w:ind w:left="360" w:hanging="360"/>
      </w:pPr>
      <w:r>
        <w:rPr>
          <w:rFonts w:ascii="Calibri" w:hAnsi="Calibri"/>
          <w:b/>
          <w:color w:val="525866"/>
          <w:sz w:val="22"/>
        </w:rPr>
        <w:t xml:space="preserve">Read-through for MCO: </w:t>
      </w:r>
      <w:r>
        <w:rPr>
          <w:rFonts w:ascii="Calibri" w:hAnsi="Calibri"/>
          <w:color w:val="525866"/>
          <w:sz w:val="22"/>
        </w:rPr>
        <w:t>Positive for MCO’s H2 2026 setup. A constructive environment for hedge funds and active managers supports demand for MCO’s credit research, risk models, and ratings.</w:t>
      </w:r>
    </w:p>
    <w:p>
      <w:pPr>
        <w:pStyle w:val="Heading3"/>
      </w:pPr>
      <w:r>
        <w:rPr>
          <w:rFonts w:ascii="Calibri" w:hAnsi="Calibri"/>
          <w:b/>
          <w:color w:val="3B4259"/>
          <w:sz w:val="24"/>
        </w:rPr>
        <w:t>FactSet (FDS) — Q3 2026 Earnings Call, July 1, 2026</w:t>
      </w:r>
    </w:p>
    <w:p>
      <w:r>
        <w:rPr>
          <w:rFonts w:ascii="Calibri" w:hAnsi="Calibri"/>
          <w:color w:val="525866"/>
          <w:sz w:val="22"/>
        </w:rPr>
        <w:t>Theme: AI-Driven Data Demand, Dealmaker Activity (Q4 2026 Forward Outlook)</w:t>
      </w:r>
    </w:p>
    <w:p>
      <w:pPr>
        <w:pStyle w:val="ListBullet"/>
        <w:ind w:left="360" w:hanging="360"/>
      </w:pPr>
      <w:r>
        <w:rPr>
          <w:rFonts w:ascii="Calibri" w:hAnsi="Calibri"/>
          <w:b/>
          <w:color w:val="525866"/>
          <w:sz w:val="22"/>
        </w:rPr>
        <w:t xml:space="preserve">API call volume surge: </w:t>
      </w:r>
      <w:r>
        <w:rPr>
          <w:rFonts w:ascii="Calibri" w:hAnsi="Calibri"/>
          <w:color w:val="525866"/>
          <w:sz w:val="22"/>
        </w:rPr>
        <w:t>FactSet CEO Sanyog Vishwanathan reported “API call volume is experiencing rapid growth with Q3 volumes at 13 times the level we experienced in Q2.” Over 90% of top 50 clients are using four or more FactSet AI solutions. ASV growth among AI clients was 50% higher than the rest of the book.</w:t>
      </w:r>
    </w:p>
    <w:p>
      <w:pPr>
        <w:pStyle w:val="ListBullet"/>
        <w:ind w:left="360" w:hanging="360"/>
      </w:pPr>
      <w:r>
        <w:rPr>
          <w:rFonts w:ascii="Calibri" w:hAnsi="Calibri"/>
          <w:b/>
          <w:color w:val="525866"/>
          <w:sz w:val="22"/>
        </w:rPr>
        <w:t xml:space="preserve">Read-through for MCO: </w:t>
      </w:r>
      <w:r>
        <w:rPr>
          <w:rFonts w:ascii="Calibri" w:hAnsi="Calibri"/>
          <w:color w:val="525866"/>
          <w:sz w:val="22"/>
        </w:rPr>
        <w:t>Strongly positive for MA. The 13x quarter-over-quarter surge in API call volumes confirms that AI-native data consumption is accelerating rapidly across financial institutions. MCO’s MCP rollout (Anthropic, AWS, Microsoft, OpenAI) is positioned to capture similar demand.</w:t>
      </w:r>
    </w:p>
    <w:p>
      <w:pPr>
        <w:pStyle w:val="ListBullet"/>
        <w:ind w:left="360" w:hanging="360"/>
      </w:pPr>
      <w:r>
        <w:rPr>
          <w:rFonts w:ascii="Calibri" w:hAnsi="Calibri"/>
          <w:b/>
          <w:color w:val="525866"/>
          <w:sz w:val="22"/>
        </w:rPr>
        <w:t xml:space="preserve">AI monetization: enterprise agreements and multiplier effect: </w:t>
      </w:r>
      <w:r>
        <w:rPr>
          <w:rFonts w:ascii="Calibri" w:hAnsi="Calibri"/>
          <w:color w:val="525866"/>
          <w:sz w:val="22"/>
        </w:rPr>
        <w:t>Over 10% of FactSet’s ASV growth came directly from AI SKUs. Average contract term extended ~30% as clients shifted to enterprise agreements. “Whenever there is AI consumption through MCP, it is actually leading to an upsizing of our existing products… There is a multiplier effect on the existing business as well.”</w:t>
      </w:r>
    </w:p>
    <w:p>
      <w:pPr>
        <w:pStyle w:val="ListBullet"/>
        <w:ind w:left="360" w:hanging="360"/>
      </w:pPr>
      <w:r>
        <w:rPr>
          <w:rFonts w:ascii="Calibri" w:hAnsi="Calibri"/>
          <w:b/>
          <w:color w:val="525866"/>
          <w:sz w:val="22"/>
        </w:rPr>
        <w:t xml:space="preserve">Read-through for MCO: </w:t>
      </w:r>
      <w:r>
        <w:rPr>
          <w:rFonts w:ascii="Calibri" w:hAnsi="Calibri"/>
          <w:color w:val="525866"/>
          <w:sz w:val="22"/>
        </w:rPr>
        <w:t>Positive for MA ARR. The “multiplier effect” — AI consumption driving upsizing of existing subscriptions — is exactly the dynamic MCO management described at the June 8 AI Strategy Call. FactSet’s experience validates MCO’s AI monetization thesis.</w:t>
      </w:r>
    </w:p>
    <w:p>
      <w:pPr>
        <w:pStyle w:val="ListBullet"/>
        <w:ind w:left="360" w:hanging="360"/>
      </w:pPr>
      <w:r>
        <w:rPr>
          <w:rFonts w:ascii="Calibri" w:hAnsi="Calibri"/>
          <w:b/>
          <w:color w:val="525866"/>
          <w:sz w:val="22"/>
        </w:rPr>
        <w:t xml:space="preserve">Dealmaker ASV growth of 9%: </w:t>
      </w:r>
      <w:r>
        <w:rPr>
          <w:rFonts w:ascii="Calibri" w:hAnsi="Calibri"/>
          <w:color w:val="525866"/>
          <w:sz w:val="22"/>
        </w:rPr>
        <w:t>FactSet reported 9% organic ASV growth in the “dealmakers” category (investment banks, sell-side research, corporates, private capital firms).</w:t>
      </w:r>
    </w:p>
    <w:p>
      <w:pPr>
        <w:pStyle w:val="ListBullet"/>
        <w:ind w:left="360" w:hanging="360"/>
      </w:pPr>
      <w:r>
        <w:rPr>
          <w:rFonts w:ascii="Calibri" w:hAnsi="Calibri"/>
          <w:b/>
          <w:color w:val="525866"/>
          <w:sz w:val="22"/>
        </w:rPr>
        <w:t xml:space="preserve">Read-through for MCO: </w:t>
      </w:r>
      <w:r>
        <w:rPr>
          <w:rFonts w:ascii="Calibri" w:hAnsi="Calibri"/>
          <w:color w:val="525866"/>
          <w:sz w:val="22"/>
        </w:rPr>
        <w:t>Positive for MIS. Healthy dealmaker activity at FactSet suggests M&amp;A and capital markets activity is picking up, which would drive incremental MIS transactional revenue.</w:t>
      </w:r>
    </w:p>
    <w:p>
      <w:pPr>
        <w:pStyle w:val="ListBullet"/>
        <w:ind w:left="360" w:hanging="360"/>
      </w:pPr>
      <w:r>
        <w:rPr>
          <w:rFonts w:ascii="Calibri" w:hAnsi="Calibri"/>
          <w:b/>
          <w:color w:val="525866"/>
          <w:sz w:val="22"/>
        </w:rPr>
        <w:t xml:space="preserve">Private market data fastest-growing SKUs: </w:t>
      </w:r>
      <w:r>
        <w:rPr>
          <w:rFonts w:ascii="Calibri" w:hAnsi="Calibri"/>
          <w:color w:val="525866"/>
          <w:sz w:val="22"/>
        </w:rPr>
        <w:t>FactSet CEO noted “our private market data sets are some of the fastest growing SKUs… in data delivery.”</w:t>
      </w:r>
    </w:p>
    <w:p>
      <w:pPr>
        <w:pStyle w:val="ListBullet"/>
        <w:ind w:left="360" w:hanging="360"/>
      </w:pPr>
      <w:r>
        <w:rPr>
          <w:rFonts w:ascii="Calibri" w:hAnsi="Calibri"/>
          <w:b/>
          <w:color w:val="525866"/>
          <w:sz w:val="22"/>
        </w:rPr>
        <w:t xml:space="preserve">Read-through for MCO: </w:t>
      </w:r>
      <w:r>
        <w:rPr>
          <w:rFonts w:ascii="Calibri" w:hAnsi="Calibri"/>
          <w:color w:val="525866"/>
          <w:sz w:val="22"/>
        </w:rPr>
        <w:t>Positive for MA. Confirms strong institutional demand for private market data, directly supporting MCO’s MA Decision Solutions and private credit analytics offerings.</w:t>
      </w:r>
    </w:p>
    <w:p>
      <w:pPr>
        <w:pStyle w:val="ListBullet"/>
        <w:ind w:left="360" w:hanging="360"/>
      </w:pPr>
      <w:r>
        <w:rPr>
          <w:rFonts w:ascii="Calibri" w:hAnsi="Calibri"/>
          <w:b/>
          <w:color w:val="525866"/>
          <w:sz w:val="22"/>
        </w:rPr>
        <w:t xml:space="preserve">Q4 2026 guidance tracking high end: </w:t>
      </w:r>
      <w:r>
        <w:rPr>
          <w:rFonts w:ascii="Calibri" w:hAnsi="Calibri"/>
          <w:color w:val="525866"/>
          <w:sz w:val="22"/>
        </w:rPr>
        <w:t>FactSet CFO stated the company is “tracking toward the high end” of its revenue and EPS guidance ranges for Q4 2026, with momentum continuing into Q4 and bookings ahead of last year.</w:t>
      </w:r>
    </w:p>
    <w:p>
      <w:pPr>
        <w:pStyle w:val="ListBullet"/>
        <w:ind w:left="360" w:hanging="360"/>
      </w:pPr>
      <w:r>
        <w:rPr>
          <w:rFonts w:ascii="Calibri" w:hAnsi="Calibri"/>
          <w:b/>
          <w:color w:val="525866"/>
          <w:sz w:val="22"/>
        </w:rPr>
        <w:t xml:space="preserve">Read-through for MCO: </w:t>
      </w:r>
      <w:r>
        <w:rPr>
          <w:rFonts w:ascii="Calibri" w:hAnsi="Calibri"/>
          <w:color w:val="525866"/>
          <w:sz w:val="22"/>
        </w:rPr>
        <w:t>Positive macro signal. FactSet’s confidence in tracking to the high end of guidance, with broad-based demand across regions and client types, suggests a healthy financial services environment heading into MCO’s Q2 print.</w:t>
      </w:r>
    </w:p>
    <w:p>
      <w:pPr>
        <w:pStyle w:val="Heading3"/>
      </w:pPr>
      <w:r>
        <w:rPr>
          <w:rFonts w:ascii="Calibri" w:hAnsi="Calibri"/>
          <w:b/>
          <w:color w:val="3B4259"/>
          <w:sz w:val="24"/>
        </w:rPr>
        <w:t>Peer Commentary Summary Table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Peer</w:t>
            </w:r>
          </w:p>
        </w:tc>
        <w:tc>
          <w:tcPr>
            <w:tcW w:type="dxa" w:w="1728"/>
            <w:shd w:val="clear" w:color="auto" w:fill="3B4259"/>
          </w:tcPr>
          <w:p>
            <w:r>
              <w:rPr>
                <w:rFonts w:ascii="Calibri" w:hAnsi="Calibri"/>
                <w:b/>
                <w:color w:val="FFFFFF"/>
                <w:sz w:val="22"/>
              </w:rPr>
              <w:t>Date</w:t>
            </w:r>
          </w:p>
        </w:tc>
        <w:tc>
          <w:tcPr>
            <w:tcW w:type="dxa" w:w="1728"/>
            <w:shd w:val="clear" w:color="auto" w:fill="3B4259"/>
          </w:tcPr>
          <w:p>
            <w:r>
              <w:rPr>
                <w:rFonts w:ascii="Calibri" w:hAnsi="Calibri"/>
                <w:b/>
                <w:color w:val="FFFFFF"/>
                <w:sz w:val="22"/>
              </w:rPr>
              <w:t>Key Theme</w:t>
            </w:r>
          </w:p>
        </w:tc>
        <w:tc>
          <w:tcPr>
            <w:tcW w:type="dxa" w:w="1728"/>
            <w:shd w:val="clear" w:color="auto" w:fill="3B4259"/>
          </w:tcPr>
          <w:p>
            <w:r>
              <w:rPr>
                <w:rFonts w:ascii="Calibri" w:hAnsi="Calibri"/>
                <w:b/>
                <w:color w:val="FFFFFF"/>
                <w:sz w:val="22"/>
              </w:rPr>
              <w:t>MCO Read-Through</w:t>
            </w:r>
          </w:p>
        </w:tc>
        <w:tc>
          <w:tcPr>
            <w:tcW w:type="dxa" w:w="1728"/>
            <w:shd w:val="clear" w:color="auto" w:fill="3B4259"/>
          </w:tcPr>
          <w:p>
            <w:r>
              <w:rPr>
                <w:rFonts w:ascii="Calibri" w:hAnsi="Calibri"/>
                <w:b/>
                <w:color w:val="FFFFFF"/>
                <w:sz w:val="22"/>
              </w:rPr>
              <w:t>Signal</w:t>
            </w:r>
          </w:p>
        </w:tc>
      </w:tr>
      <w:tr>
        <w:tc>
          <w:tcPr>
            <w:tcW w:type="dxa" w:w="1728"/>
          </w:tcPr>
          <w:p>
            <w:r>
              <w:rPr>
                <w:rFonts w:ascii="Calibri" w:hAnsi="Calibri"/>
                <w:sz w:val="22"/>
              </w:rPr>
              <w:t>SPGI</w:t>
            </w:r>
          </w:p>
        </w:tc>
        <w:tc>
          <w:tcPr>
            <w:tcW w:type="dxa" w:w="1728"/>
          </w:tcPr>
          <w:p>
            <w:r>
              <w:rPr>
                <w:rFonts w:ascii="Calibri" w:hAnsi="Calibri"/>
                <w:sz w:val="22"/>
              </w:rPr>
              <w:t>May 27</w:t>
            </w:r>
          </w:p>
        </w:tc>
        <w:tc>
          <w:tcPr>
            <w:tcW w:type="dxa" w:w="1728"/>
          </w:tcPr>
          <w:p>
            <w:r>
              <w:rPr>
                <w:rFonts w:ascii="Calibri" w:hAnsi="Calibri"/>
                <w:sz w:val="22"/>
              </w:rPr>
              <w:t>Ratings upside if issuance &gt; forecast; $8T maturity wall through 2028</w:t>
            </w:r>
          </w:p>
        </w:tc>
        <w:tc>
          <w:tcPr>
            <w:tcW w:type="dxa" w:w="1728"/>
          </w:tcPr>
          <w:p>
            <w:r>
              <w:rPr>
                <w:rFonts w:ascii="Calibri" w:hAnsi="Calibri"/>
                <w:sz w:val="22"/>
              </w:rPr>
              <w:t>MIS revenue upside potential</w:t>
            </w:r>
          </w:p>
        </w:tc>
        <w:tc>
          <w:tcPr>
            <w:tcW w:type="dxa" w:w="1728"/>
          </w:tcPr>
          <w:p>
            <w:r>
              <w:rPr>
                <w:rFonts w:ascii="Calibri" w:hAnsi="Calibri"/>
                <w:b/>
                <w:color w:val="30A46C"/>
                <w:sz w:val="22"/>
              </w:rPr>
              <w:t>Positive</w:t>
            </w:r>
          </w:p>
        </w:tc>
      </w:tr>
      <w:tr>
        <w:tc>
          <w:tcPr>
            <w:tcW w:type="dxa" w:w="1728"/>
          </w:tcPr>
          <w:p>
            <w:r>
              <w:rPr>
                <w:rFonts w:ascii="Calibri" w:hAnsi="Calibri"/>
                <w:sz w:val="22"/>
              </w:rPr>
              <w:t>SPGI</w:t>
            </w:r>
          </w:p>
        </w:tc>
        <w:tc>
          <w:tcPr>
            <w:tcW w:type="dxa" w:w="1728"/>
          </w:tcPr>
          <w:p>
            <w:r>
              <w:rPr>
                <w:rFonts w:ascii="Calibri" w:hAnsi="Calibri"/>
                <w:sz w:val="22"/>
              </w:rPr>
              <w:t>May 27</w:t>
            </w:r>
          </w:p>
        </w:tc>
        <w:tc>
          <w:tcPr>
            <w:tcW w:type="dxa" w:w="1728"/>
          </w:tcPr>
          <w:p>
            <w:r>
              <w:rPr>
                <w:rFonts w:ascii="Calibri" w:hAnsi="Calibri"/>
                <w:sz w:val="22"/>
              </w:rPr>
              <w:t>35–45% pricing uplift for AI-ready data at renewal; 30% higher growth for AI customers</w:t>
            </w:r>
          </w:p>
        </w:tc>
        <w:tc>
          <w:tcPr>
            <w:tcW w:type="dxa" w:w="1728"/>
          </w:tcPr>
          <w:p>
            <w:r>
              <w:rPr>
                <w:rFonts w:ascii="Calibri" w:hAnsi="Calibri"/>
                <w:sz w:val="22"/>
              </w:rPr>
              <w:t>MA ARR pricing power</w:t>
            </w:r>
          </w:p>
        </w:tc>
        <w:tc>
          <w:tcPr>
            <w:tcW w:type="dxa" w:w="1728"/>
          </w:tcPr>
          <w:p>
            <w:r>
              <w:rPr>
                <w:rFonts w:ascii="Calibri" w:hAnsi="Calibri"/>
                <w:b/>
                <w:color w:val="30A46C"/>
                <w:sz w:val="22"/>
              </w:rPr>
              <w:t>Positive</w:t>
            </w:r>
          </w:p>
        </w:tc>
      </w:tr>
      <w:tr>
        <w:tc>
          <w:tcPr>
            <w:tcW w:type="dxa" w:w="1728"/>
          </w:tcPr>
          <w:p>
            <w:r>
              <w:rPr>
                <w:rFonts w:ascii="Calibri" w:hAnsi="Calibri"/>
                <w:sz w:val="22"/>
              </w:rPr>
              <w:t>SPGI</w:t>
            </w:r>
          </w:p>
        </w:tc>
        <w:tc>
          <w:tcPr>
            <w:tcW w:type="dxa" w:w="1728"/>
          </w:tcPr>
          <w:p>
            <w:r>
              <w:rPr>
                <w:rFonts w:ascii="Calibri" w:hAnsi="Calibri"/>
                <w:sz w:val="22"/>
              </w:rPr>
              <w:t>Jun 10</w:t>
            </w:r>
          </w:p>
        </w:tc>
        <w:tc>
          <w:tcPr>
            <w:tcW w:type="dxa" w:w="1728"/>
          </w:tcPr>
          <w:p>
            <w:r>
              <w:rPr>
                <w:rFonts w:ascii="Calibri" w:hAnsi="Calibri"/>
                <w:sz w:val="22"/>
              </w:rPr>
              <w:t>Hyperscaler issuance forecast conservative; 500% QoQ API call volume growth</w:t>
            </w:r>
          </w:p>
        </w:tc>
        <w:tc>
          <w:tcPr>
            <w:tcW w:type="dxa" w:w="1728"/>
          </w:tcPr>
          <w:p>
            <w:r>
              <w:rPr>
                <w:rFonts w:ascii="Calibri" w:hAnsi="Calibri"/>
                <w:sz w:val="22"/>
              </w:rPr>
              <w:t>MIS upside; MA AI monetization validation</w:t>
            </w:r>
          </w:p>
        </w:tc>
        <w:tc>
          <w:tcPr>
            <w:tcW w:type="dxa" w:w="1728"/>
          </w:tcPr>
          <w:p>
            <w:r>
              <w:rPr>
                <w:rFonts w:ascii="Calibri" w:hAnsi="Calibri"/>
                <w:b/>
                <w:color w:val="30A46C"/>
                <w:sz w:val="22"/>
              </w:rPr>
              <w:t>Positive</w:t>
            </w:r>
          </w:p>
        </w:tc>
      </w:tr>
      <w:tr>
        <w:tc>
          <w:tcPr>
            <w:tcW w:type="dxa" w:w="1728"/>
          </w:tcPr>
          <w:p>
            <w:r>
              <w:rPr>
                <w:rFonts w:ascii="Calibri" w:hAnsi="Calibri"/>
                <w:sz w:val="22"/>
              </w:rPr>
              <w:t>MSCI</w:t>
            </w:r>
          </w:p>
        </w:tc>
        <w:tc>
          <w:tcPr>
            <w:tcW w:type="dxa" w:w="1728"/>
          </w:tcPr>
          <w:p>
            <w:r>
              <w:rPr>
                <w:rFonts w:ascii="Calibri" w:hAnsi="Calibri"/>
                <w:sz w:val="22"/>
              </w:rPr>
              <w:t>May 28</w:t>
            </w:r>
          </w:p>
        </w:tc>
        <w:tc>
          <w:tcPr>
            <w:tcW w:type="dxa" w:w="1728"/>
          </w:tcPr>
          <w:p>
            <w:r>
              <w:rPr>
                <w:rFonts w:ascii="Calibri" w:hAnsi="Calibri"/>
                <w:sz w:val="22"/>
              </w:rPr>
              <w:t>Private assets accelerating; Moody’s partnership active for private credit scoring</w:t>
            </w:r>
          </w:p>
        </w:tc>
        <w:tc>
          <w:tcPr>
            <w:tcW w:type="dxa" w:w="1728"/>
          </w:tcPr>
          <w:p>
            <w:r>
              <w:rPr>
                <w:rFonts w:ascii="Calibri" w:hAnsi="Calibri"/>
                <w:sz w:val="22"/>
              </w:rPr>
              <w:t>MA Decision Solutions; MIS private credit</w:t>
            </w:r>
          </w:p>
        </w:tc>
        <w:tc>
          <w:tcPr>
            <w:tcW w:type="dxa" w:w="1728"/>
          </w:tcPr>
          <w:p>
            <w:r>
              <w:rPr>
                <w:rFonts w:ascii="Calibri" w:hAnsi="Calibri"/>
                <w:b/>
                <w:color w:val="30A46C"/>
                <w:sz w:val="22"/>
              </w:rPr>
              <w:t>Positive</w:t>
            </w:r>
          </w:p>
        </w:tc>
      </w:tr>
      <w:tr>
        <w:tc>
          <w:tcPr>
            <w:tcW w:type="dxa" w:w="1728"/>
          </w:tcPr>
          <w:p>
            <w:r>
              <w:rPr>
                <w:rFonts w:ascii="Calibri" w:hAnsi="Calibri"/>
                <w:sz w:val="22"/>
              </w:rPr>
              <w:t>MSCI</w:t>
            </w:r>
          </w:p>
        </w:tc>
        <w:tc>
          <w:tcPr>
            <w:tcW w:type="dxa" w:w="1728"/>
          </w:tcPr>
          <w:p>
            <w:r>
              <w:rPr>
                <w:rFonts w:ascii="Calibri" w:hAnsi="Calibri"/>
                <w:sz w:val="22"/>
              </w:rPr>
              <w:t>Jun 25</w:t>
            </w:r>
          </w:p>
        </w:tc>
        <w:tc>
          <w:tcPr>
            <w:tcW w:type="dxa" w:w="1728"/>
          </w:tcPr>
          <w:p>
            <w:r>
              <w:rPr>
                <w:rFonts w:ascii="Calibri" w:hAnsi="Calibri"/>
                <w:sz w:val="22"/>
              </w:rPr>
              <w:t>PCS 16% growth; Moody’s Analytics integration live for implied ratings</w:t>
            </w:r>
          </w:p>
        </w:tc>
        <w:tc>
          <w:tcPr>
            <w:tcW w:type="dxa" w:w="1728"/>
          </w:tcPr>
          <w:p>
            <w:r>
              <w:rPr>
                <w:rFonts w:ascii="Calibri" w:hAnsi="Calibri"/>
                <w:sz w:val="22"/>
              </w:rPr>
              <w:t>MA revenue; MIS infrastructure</w:t>
            </w:r>
          </w:p>
        </w:tc>
        <w:tc>
          <w:tcPr>
            <w:tcW w:type="dxa" w:w="1728"/>
          </w:tcPr>
          <w:p>
            <w:r>
              <w:rPr>
                <w:rFonts w:ascii="Calibri" w:hAnsi="Calibri"/>
                <w:b/>
                <w:color w:val="30A46C"/>
                <w:sz w:val="22"/>
              </w:rPr>
              <w:t>Positive</w:t>
            </w:r>
          </w:p>
        </w:tc>
      </w:tr>
      <w:tr>
        <w:tc>
          <w:tcPr>
            <w:tcW w:type="dxa" w:w="1728"/>
          </w:tcPr>
          <w:p>
            <w:r>
              <w:rPr>
                <w:rFonts w:ascii="Calibri" w:hAnsi="Calibri"/>
                <w:sz w:val="22"/>
              </w:rPr>
              <w:t>MSCI</w:t>
            </w:r>
          </w:p>
        </w:tc>
        <w:tc>
          <w:tcPr>
            <w:tcW w:type="dxa" w:w="1728"/>
          </w:tcPr>
          <w:p>
            <w:r>
              <w:rPr>
                <w:rFonts w:ascii="Calibri" w:hAnsi="Calibri"/>
                <w:sz w:val="22"/>
              </w:rPr>
              <w:t>Jul 21</w:t>
            </w:r>
          </w:p>
        </w:tc>
        <w:tc>
          <w:tcPr>
            <w:tcW w:type="dxa" w:w="1728"/>
          </w:tcPr>
          <w:p>
            <w:r>
              <w:rPr>
                <w:rFonts w:ascii="Calibri" w:hAnsi="Calibri"/>
                <w:sz w:val="22"/>
              </w:rPr>
              <w:t>Q2: 12% organic revenue growth; 57% private assets RNNS growth; bullish H2 pipeline</w:t>
            </w:r>
          </w:p>
        </w:tc>
        <w:tc>
          <w:tcPr>
            <w:tcW w:type="dxa" w:w="1728"/>
          </w:tcPr>
          <w:p>
            <w:r>
              <w:rPr>
                <w:rFonts w:ascii="Calibri" w:hAnsi="Calibri"/>
                <w:sz w:val="22"/>
              </w:rPr>
              <w:t>MA ARR; MIS private credit; H2 setup</w:t>
            </w:r>
          </w:p>
        </w:tc>
        <w:tc>
          <w:tcPr>
            <w:tcW w:type="dxa" w:w="1728"/>
          </w:tcPr>
          <w:p>
            <w:r>
              <w:rPr>
                <w:rFonts w:ascii="Calibri" w:hAnsi="Calibri"/>
                <w:b/>
                <w:color w:val="30A46C"/>
                <w:sz w:val="22"/>
              </w:rPr>
              <w:t>Positive</w:t>
            </w:r>
          </w:p>
        </w:tc>
      </w:tr>
      <w:tr>
        <w:tc>
          <w:tcPr>
            <w:tcW w:type="dxa" w:w="1728"/>
          </w:tcPr>
          <w:p>
            <w:r>
              <w:rPr>
                <w:rFonts w:ascii="Calibri" w:hAnsi="Calibri"/>
                <w:sz w:val="22"/>
              </w:rPr>
              <w:t>MSCI</w:t>
            </w:r>
          </w:p>
        </w:tc>
        <w:tc>
          <w:tcPr>
            <w:tcW w:type="dxa" w:w="1728"/>
          </w:tcPr>
          <w:p>
            <w:r>
              <w:rPr>
                <w:rFonts w:ascii="Calibri" w:hAnsi="Calibri"/>
                <w:sz w:val="22"/>
              </w:rPr>
              <w:t>Jul 21</w:t>
            </w:r>
          </w:p>
        </w:tc>
        <w:tc>
          <w:tcPr>
            <w:tcW w:type="dxa" w:w="1728"/>
          </w:tcPr>
          <w:p>
            <w:r>
              <w:rPr>
                <w:rFonts w:ascii="Calibri" w:hAnsi="Calibri"/>
                <w:sz w:val="22"/>
              </w:rPr>
              <w:t>Sustainability “protracted cyclical downturn”; zero to slightly negative RNNS Q3–Q4</w:t>
            </w:r>
          </w:p>
        </w:tc>
        <w:tc>
          <w:tcPr>
            <w:tcW w:type="dxa" w:w="1728"/>
          </w:tcPr>
          <w:p>
            <w:r>
              <w:rPr>
                <w:rFonts w:ascii="Calibri" w:hAnsi="Calibri"/>
                <w:sz w:val="22"/>
              </w:rPr>
              <w:t>MCO ESG Solutions (small segment)</w:t>
            </w:r>
          </w:p>
        </w:tc>
        <w:tc>
          <w:tcPr>
            <w:tcW w:type="dxa" w:w="1728"/>
          </w:tcPr>
          <w:p>
            <w:r>
              <w:rPr>
                <w:rFonts w:ascii="Calibri" w:hAnsi="Calibri"/>
                <w:b/>
                <w:color w:val="E5484D"/>
                <w:sz w:val="22"/>
              </w:rPr>
              <w:t>Modest Negative</w:t>
            </w:r>
          </w:p>
        </w:tc>
      </w:tr>
      <w:tr>
        <w:tc>
          <w:tcPr>
            <w:tcW w:type="dxa" w:w="1728"/>
          </w:tcPr>
          <w:p>
            <w:r>
              <w:rPr>
                <w:rFonts w:ascii="Calibri" w:hAnsi="Calibri"/>
                <w:sz w:val="22"/>
              </w:rPr>
              <w:t>FDS</w:t>
            </w:r>
          </w:p>
        </w:tc>
        <w:tc>
          <w:tcPr>
            <w:tcW w:type="dxa" w:w="1728"/>
          </w:tcPr>
          <w:p>
            <w:r>
              <w:rPr>
                <w:rFonts w:ascii="Calibri" w:hAnsi="Calibri"/>
                <w:sz w:val="22"/>
              </w:rPr>
              <w:t>Jul 1</w:t>
            </w:r>
          </w:p>
        </w:tc>
        <w:tc>
          <w:tcPr>
            <w:tcW w:type="dxa" w:w="1728"/>
          </w:tcPr>
          <w:p>
            <w:r>
              <w:rPr>
                <w:rFonts w:ascii="Calibri" w:hAnsi="Calibri"/>
                <w:sz w:val="22"/>
              </w:rPr>
              <w:t>API volumes 13x QoQ; AI ASV growth 50% above non-AI; enterprise agreements extending</w:t>
            </w:r>
          </w:p>
        </w:tc>
        <w:tc>
          <w:tcPr>
            <w:tcW w:type="dxa" w:w="1728"/>
          </w:tcPr>
          <w:p>
            <w:r>
              <w:rPr>
                <w:rFonts w:ascii="Calibri" w:hAnsi="Calibri"/>
                <w:sz w:val="22"/>
              </w:rPr>
              <w:t>MA AI monetization; MCP adoption</w:t>
            </w:r>
          </w:p>
        </w:tc>
        <w:tc>
          <w:tcPr>
            <w:tcW w:type="dxa" w:w="1728"/>
          </w:tcPr>
          <w:p>
            <w:r>
              <w:rPr>
                <w:rFonts w:ascii="Calibri" w:hAnsi="Calibri"/>
                <w:b/>
                <w:color w:val="30A46C"/>
                <w:sz w:val="22"/>
              </w:rPr>
              <w:t>Strongly Positive</w:t>
            </w:r>
          </w:p>
        </w:tc>
      </w:tr>
      <w:tr>
        <w:tc>
          <w:tcPr>
            <w:tcW w:type="dxa" w:w="1728"/>
          </w:tcPr>
          <w:p>
            <w:r>
              <w:rPr>
                <w:rFonts w:ascii="Calibri" w:hAnsi="Calibri"/>
                <w:sz w:val="22"/>
              </w:rPr>
              <w:t>FDS</w:t>
            </w:r>
          </w:p>
        </w:tc>
        <w:tc>
          <w:tcPr>
            <w:tcW w:type="dxa" w:w="1728"/>
          </w:tcPr>
          <w:p>
            <w:r>
              <w:rPr>
                <w:rFonts w:ascii="Calibri" w:hAnsi="Calibri"/>
                <w:sz w:val="22"/>
              </w:rPr>
              <w:t>Jul 1</w:t>
            </w:r>
          </w:p>
        </w:tc>
        <w:tc>
          <w:tcPr>
            <w:tcW w:type="dxa" w:w="1728"/>
          </w:tcPr>
          <w:p>
            <w:r>
              <w:rPr>
                <w:rFonts w:ascii="Calibri" w:hAnsi="Calibri"/>
                <w:sz w:val="22"/>
              </w:rPr>
              <w:t>Dealmaker ASV +9%; private market data fastest-growing SKUs; Q4 tracking high end</w:t>
            </w:r>
          </w:p>
        </w:tc>
        <w:tc>
          <w:tcPr>
            <w:tcW w:type="dxa" w:w="1728"/>
          </w:tcPr>
          <w:p>
            <w:r>
              <w:rPr>
                <w:rFonts w:ascii="Calibri" w:hAnsi="Calibri"/>
                <w:sz w:val="22"/>
              </w:rPr>
              <w:t>MIS transactional; MA private credit data</w:t>
            </w:r>
          </w:p>
        </w:tc>
        <w:tc>
          <w:tcPr>
            <w:tcW w:type="dxa" w:w="1728"/>
          </w:tcPr>
          <w:p>
            <w:r>
              <w:rPr>
                <w:rFonts w:ascii="Calibri" w:hAnsi="Calibri"/>
                <w:b/>
                <w:color w:val="30A46C"/>
                <w:sz w:val="22"/>
              </w:rPr>
              <w:t>Positive</w:t>
            </w:r>
          </w:p>
        </w:tc>
      </w:tr>
    </w:tbl>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the June 8 AI Strategy Call, which provided the first detailed roadmap for MCO’s AI monetization — validating the MA margin expansion thesis and introducing a consumption-based pricing overlay that could be a meaningful revenue driver in 2027+.</w:t>
      </w:r>
    </w:p>
    <w:p>
      <w:pPr>
        <w:pStyle w:val="ListBullet"/>
        <w:ind w:left="360" w:hanging="360"/>
      </w:pPr>
      <w:r>
        <w:rPr>
          <w:rFonts w:ascii="Calibri" w:hAnsi="Calibri"/>
          <w:b/>
          <w:color w:val="525866"/>
          <w:sz w:val="22"/>
        </w:rPr>
        <w:t xml:space="preserve">June 8, 2026 — Moody’s Generative AI Strategy Call (Investor Event): </w:t>
      </w:r>
      <w:r>
        <w:rPr>
          <w:rFonts w:ascii="Calibri" w:hAnsi="Calibri"/>
          <w:i/>
          <w:color w:val="525866"/>
          <w:sz w:val="22"/>
        </w:rPr>
        <w:t xml:space="preserve">MCO hosted a dedicated Q&amp;A session on its GenAI strategy. Key disclosures: (1) AI customers exhibit higher retention and consume more content, a “clear indicator that AI adoption deepens the commercial relationship”; (2) pricing model includes a base subscription fee plus consumption-based pricing for usage above minimums (“volatility could really only be to the upside”); (3) MCPs are live across Anthropic, AWS, Microsoft 365 Copilot, and ChatGPT Enterprise; (4) Moody’s retains the customer relationship and controls pricing across all partner integrations; (5) token costs are managed by Moody’s when customers contract directly, with “necessary buffers built in.” </w:t>
      </w:r>
      <w:r>
        <w:rPr>
          <w:rFonts w:ascii="Calibri" w:hAnsi="Calibri"/>
          <w:b/>
          <w:color w:val="525866"/>
          <w:sz w:val="22"/>
        </w:rPr>
        <w:t xml:space="preserve">Implication: </w:t>
      </w:r>
      <w:r>
        <w:rPr>
          <w:rFonts w:ascii="Calibri" w:hAnsi="Calibri"/>
          <w:color w:val="525866"/>
          <w:sz w:val="22"/>
        </w:rPr>
        <w:t>Provides the clearest articulation yet of how AI translates to revenue — base subscription stability + consumption upside. Validates MA margin expansion thesis and reduces investor concern about AI disintermediation risk.</w:t>
      </w:r>
    </w:p>
    <w:p>
      <w:pPr>
        <w:pStyle w:val="ListBullet"/>
        <w:ind w:left="360" w:hanging="360"/>
      </w:pPr>
      <w:r>
        <w:rPr>
          <w:rFonts w:ascii="Calibri" w:hAnsi="Calibri"/>
          <w:b/>
          <w:color w:val="525866"/>
          <w:sz w:val="22"/>
        </w:rPr>
        <w:t xml:space="preserve">May 28, 2026 — Bernstein Strategic Decisions Conference: </w:t>
      </w:r>
      <w:r>
        <w:rPr>
          <w:rFonts w:ascii="Calibri" w:hAnsi="Calibri"/>
          <w:i/>
          <w:color w:val="525866"/>
          <w:sz w:val="22"/>
        </w:rPr>
        <w:t xml:space="preserve">CEO Robert Fauber reaffirmed full-year 2026 guidance, noting markets are “quite constructive” with spreads having recovered. Highlighted: (1) hyperscaler issuance in Q1 was “almost as much as the full-year expectation” and “we don’t think they’re done”; (2) private equity exit and M&amp;A cycle “hasnot really kicked into high gear” — flagged as the largest unpriced upside driver; (3) MA loan origination software growing ~20% in Q1; (4) Microsoft/MCP partnership is a “bring-your-own-license” model focused on driving embeddedness before monetization. </w:t>
      </w:r>
      <w:r>
        <w:rPr>
          <w:rFonts w:ascii="Calibri" w:hAnsi="Calibri"/>
          <w:b/>
          <w:color w:val="525866"/>
          <w:sz w:val="22"/>
        </w:rPr>
        <w:t xml:space="preserve">Implication: </w:t>
      </w:r>
      <w:r>
        <w:rPr>
          <w:rFonts w:ascii="Calibri" w:hAnsi="Calibri"/>
          <w:color w:val="525866"/>
          <w:sz w:val="22"/>
        </w:rPr>
        <w:t>Constructive tone; no guidance changes. The PE/M&amp;A cycle comment is the most important forward signal — any acceleration would be incremental to current estimates.</w:t>
      </w:r>
    </w:p>
    <w:p>
      <w:pPr>
        <w:pStyle w:val="ListBullet"/>
        <w:ind w:left="360" w:hanging="360"/>
      </w:pPr>
      <w:r>
        <w:rPr>
          <w:rFonts w:ascii="Calibri" w:hAnsi="Calibri"/>
          <w:b/>
          <w:color w:val="525866"/>
          <w:sz w:val="22"/>
        </w:rPr>
        <w:t xml:space="preserve">April 30, 2026 — Regulatory Solutions (RAS) Divestiture Closed: </w:t>
      </w:r>
      <w:r>
        <w:rPr>
          <w:rFonts w:ascii="Calibri" w:hAnsi="Calibri"/>
          <w:i/>
          <w:color w:val="525866"/>
          <w:sz w:val="22"/>
        </w:rPr>
        <w:t xml:space="preserve">MCO completed the sale of its MA Regulatory Solutions business as expected. This removes ~$30–40M of lower-margin MA revenue from the reported revenue line for Q2 onward, but does not affect ARR or organic constant currency growth guidance. </w:t>
      </w:r>
      <w:r>
        <w:rPr>
          <w:rFonts w:ascii="Calibri" w:hAnsi="Calibri"/>
          <w:b/>
          <w:color w:val="525866"/>
          <w:sz w:val="22"/>
        </w:rPr>
        <w:t xml:space="preserve">Implication: </w:t>
      </w:r>
      <w:r>
        <w:rPr>
          <w:rFonts w:ascii="Calibri" w:hAnsi="Calibri"/>
          <w:color w:val="525866"/>
          <w:sz w:val="22"/>
        </w:rPr>
        <w:t>Modest reported MA revenue headwind in Q2 vs. prior year; investors should focus on organic/ARR metrics rather than reported revenue for MA.</w:t>
      </w:r>
    </w:p>
    <w:p>
      <w:pPr>
        <w:pStyle w:val="ListBullet"/>
        <w:ind w:left="360" w:hanging="360"/>
      </w:pPr>
      <w:r>
        <w:rPr>
          <w:rFonts w:ascii="Calibri" w:hAnsi="Calibri"/>
          <w:b/>
          <w:color w:val="525866"/>
          <w:sz w:val="22"/>
        </w:rPr>
        <w:t xml:space="preserve">April 22, 2026 — Q1 2026 Earnings: Record MIS Quarter, Buyback Raised: </w:t>
      </w:r>
      <w:r>
        <w:rPr>
          <w:rFonts w:ascii="Calibri" w:hAnsi="Calibri"/>
          <w:i/>
          <w:color w:val="525866"/>
          <w:sz w:val="22"/>
        </w:rPr>
        <w:t xml:space="preserve">MCO reported record Q1 MIS revenue ($1.204B, +8% YoY), rated issuance surpassing $2 trillion for the first time, private credit revenue +80% YoY, and adjusted EPS of $4.33 (+13% YoY). Full-year EPS guidance reaffirmed at $16.40–$17.00; share repurchase guidance raised by $500M to ~$2.5B. MA ARR grew 8% to $3.607B. </w:t>
      </w:r>
      <w:r>
        <w:rPr>
          <w:rFonts w:ascii="Calibri" w:hAnsi="Calibri"/>
          <w:b/>
          <w:color w:val="525866"/>
          <w:sz w:val="22"/>
        </w:rPr>
        <w:t xml:space="preserve">Implication: </w:t>
      </w:r>
      <w:r>
        <w:rPr>
          <w:rFonts w:ascii="Calibri" w:hAnsi="Calibri"/>
          <w:color w:val="525866"/>
          <w:sz w:val="22"/>
        </w:rPr>
        <w:t>Sets a high bar for Q2 given the record Q1 print, but management’s explicit Q2 guidance (low-to-mid teens MIS growth, EPS $4.15–$4.30) provides a clear framework.</w:t>
      </w:r>
    </w:p>
    <w:p>
      <w:pPr>
        <w:pStyle w:val="ListBullet"/>
        <w:ind w:left="360" w:hanging="360"/>
      </w:pPr>
      <w:r>
        <w:rPr>
          <w:rFonts w:ascii="Calibri" w:hAnsi="Calibri"/>
          <w:b/>
          <w:color w:val="525866"/>
          <w:sz w:val="22"/>
        </w:rPr>
        <w:t xml:space="preserve">Ongoing — Christina Kosmowski Named Incoming MA CEO: </w:t>
      </w:r>
      <w:r>
        <w:rPr>
          <w:rFonts w:ascii="Calibri" w:hAnsi="Calibri"/>
          <w:i/>
          <w:color w:val="525866"/>
          <w:sz w:val="22"/>
        </w:rPr>
        <w:t xml:space="preserve">Kosmowski joined as incoming CEO of Moody’s Analytics in June 2026, succeeding the prior leadership. Her mandate includes simplifying product/pricing/packaging, developing partner channels, and reducing buying friction. Management acknowledged a “gravity” to the current field-sales-heavy model that has contributed to revenue growth deceleration. </w:t>
      </w:r>
      <w:r>
        <w:rPr>
          <w:rFonts w:ascii="Calibri" w:hAnsi="Calibri"/>
          <w:b/>
          <w:color w:val="525866"/>
          <w:sz w:val="22"/>
        </w:rPr>
        <w:t xml:space="preserve">Implication: </w:t>
      </w:r>
      <w:r>
        <w:rPr>
          <w:rFonts w:ascii="Calibri" w:hAnsi="Calibri"/>
          <w:color w:val="525866"/>
          <w:sz w:val="22"/>
        </w:rPr>
        <w:t>Leadership transition is a watch item — any commentary on go-to-market changes or early wins under new leadership will be closely watched on the Q2 call.</w:t>
      </w:r>
    </w:p>
    <w:p>
      <w:pPr>
        <w:pStyle w:val="ListBullet"/>
        <w:ind w:left="360" w:hanging="360"/>
      </w:pPr>
      <w:r>
        <w:rPr>
          <w:rFonts w:ascii="Calibri" w:hAnsi="Calibri"/>
          <w:b/>
          <w:color w:val="525866"/>
          <w:sz w:val="22"/>
        </w:rPr>
        <w:t xml:space="preserve">Ongoing — Digital Assets / New Asset Classes: </w:t>
      </w:r>
      <w:r>
        <w:rPr>
          <w:rFonts w:ascii="Calibri" w:hAnsi="Calibri"/>
          <w:i/>
          <w:color w:val="525866"/>
          <w:sz w:val="22"/>
        </w:rPr>
        <w:t xml:space="preserve">MCO has positioned itself as a first mover in stablecoin ratings methodology, first rating agency with blockchain-agnostic on-chain publishing (live on Canton network), and first to rate a Bitcoin-backed bond. </w:t>
      </w:r>
      <w:r>
        <w:rPr>
          <w:rFonts w:ascii="Calibri" w:hAnsi="Calibri"/>
          <w:b/>
          <w:color w:val="525866"/>
          <w:sz w:val="22"/>
        </w:rPr>
        <w:t xml:space="preserve">Implication: </w:t>
      </w:r>
      <w:r>
        <w:rPr>
          <w:rFonts w:ascii="Calibri" w:hAnsi="Calibri"/>
          <w:color w:val="525866"/>
          <w:sz w:val="22"/>
        </w:rPr>
        <w:t>Small revenue contribution today but signals long-term optionality in new asset class ratings — watch for any Q2 commentary on pipeline or revenue contribution.</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All insider transactions since last earnings are 10b5-1 planned sales — routine, pre-scheduled dispositions with no discretionary signal. No open-market buys or unusual activity.</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Robert Fauber</w:t>
            </w:r>
          </w:p>
        </w:tc>
        <w:tc>
          <w:tcPr>
            <w:tcW w:type="dxa" w:w="1440"/>
          </w:tcPr>
          <w:p>
            <w:r>
              <w:rPr>
                <w:rFonts w:ascii="Calibri" w:hAnsi="Calibri"/>
                <w:sz w:val="22"/>
              </w:rPr>
              <w:t>President &amp; CEO</w:t>
            </w:r>
          </w:p>
        </w:tc>
        <w:tc>
          <w:tcPr>
            <w:tcW w:type="dxa" w:w="1440"/>
          </w:tcPr>
          <w:p>
            <w:r>
              <w:rPr>
                <w:rFonts w:ascii="Calibri" w:hAnsi="Calibri"/>
                <w:sz w:val="22"/>
              </w:rPr>
              <w:t>10b5-1 Planned Sale</w:t>
            </w:r>
          </w:p>
        </w:tc>
        <w:tc>
          <w:tcPr>
            <w:tcW w:type="dxa" w:w="1440"/>
          </w:tcPr>
          <w:p>
            <w:r>
              <w:rPr>
                <w:rFonts w:ascii="Calibri" w:hAnsi="Calibri"/>
                <w:sz w:val="22"/>
              </w:rPr>
              <w:t>1,467</w:t>
            </w:r>
          </w:p>
        </w:tc>
        <w:tc>
          <w:tcPr>
            <w:tcW w:type="dxa" w:w="1440"/>
          </w:tcPr>
          <w:p>
            <w:r>
              <w:rPr>
                <w:rFonts w:ascii="Calibri" w:hAnsi="Calibri"/>
                <w:sz w:val="22"/>
              </w:rPr>
              <w:t>Jul 1, 2026</w:t>
            </w:r>
          </w:p>
        </w:tc>
        <w:tc>
          <w:tcPr>
            <w:tcW w:type="dxa" w:w="1440"/>
          </w:tcPr>
          <w:p>
            <w:r>
              <w:rPr>
                <w:rFonts w:ascii="Calibri" w:hAnsi="Calibri"/>
                <w:sz w:val="22"/>
              </w:rPr>
              <w:t>Pre-scheduled 10b5-1 plan; routine monthly sale; no discretionary signal</w:t>
            </w:r>
          </w:p>
        </w:tc>
      </w:tr>
      <w:tr>
        <w:tc>
          <w:tcPr>
            <w:tcW w:type="dxa" w:w="1440"/>
          </w:tcPr>
          <w:p>
            <w:r>
              <w:rPr>
                <w:rFonts w:ascii="Calibri" w:hAnsi="Calibri"/>
                <w:sz w:val="22"/>
              </w:rPr>
              <w:t>Richard G. Steele</w:t>
            </w:r>
          </w:p>
        </w:tc>
        <w:tc>
          <w:tcPr>
            <w:tcW w:type="dxa" w:w="1440"/>
          </w:tcPr>
          <w:p>
            <w:r>
              <w:rPr>
                <w:rFonts w:ascii="Calibri" w:hAnsi="Calibri"/>
                <w:sz w:val="22"/>
              </w:rPr>
              <w:t>SVP — General Counsel</w:t>
            </w:r>
          </w:p>
        </w:tc>
        <w:tc>
          <w:tcPr>
            <w:tcW w:type="dxa" w:w="1440"/>
          </w:tcPr>
          <w:p>
            <w:r>
              <w:rPr>
                <w:rFonts w:ascii="Calibri" w:hAnsi="Calibri"/>
                <w:sz w:val="22"/>
              </w:rPr>
              <w:t>10b5-1 Planned Sale</w:t>
            </w:r>
          </w:p>
        </w:tc>
        <w:tc>
          <w:tcPr>
            <w:tcW w:type="dxa" w:w="1440"/>
          </w:tcPr>
          <w:p>
            <w:r>
              <w:rPr>
                <w:rFonts w:ascii="Calibri" w:hAnsi="Calibri"/>
                <w:sz w:val="22"/>
              </w:rPr>
              <w:t>157</w:t>
            </w:r>
          </w:p>
        </w:tc>
        <w:tc>
          <w:tcPr>
            <w:tcW w:type="dxa" w:w="1440"/>
          </w:tcPr>
          <w:p>
            <w:r>
              <w:rPr>
                <w:rFonts w:ascii="Calibri" w:hAnsi="Calibri"/>
                <w:sz w:val="22"/>
              </w:rPr>
              <w:t>Jul 1, 2026</w:t>
            </w:r>
          </w:p>
        </w:tc>
        <w:tc>
          <w:tcPr>
            <w:tcW w:type="dxa" w:w="1440"/>
          </w:tcPr>
          <w:p>
            <w:r>
              <w:rPr>
                <w:rFonts w:ascii="Calibri" w:hAnsi="Calibri"/>
                <w:sz w:val="22"/>
              </w:rPr>
              <w:t>Pre-scheduled 10b5-1 plan; routine monthly sale; no discretionary signal</w:t>
            </w:r>
          </w:p>
        </w:tc>
      </w:tr>
      <w:tr>
        <w:tc>
          <w:tcPr>
            <w:tcW w:type="dxa" w:w="1440"/>
          </w:tcPr>
          <w:p>
            <w:r>
              <w:rPr>
                <w:rFonts w:ascii="Calibri" w:hAnsi="Calibri"/>
                <w:sz w:val="22"/>
              </w:rPr>
              <w:t>Richard G. Steele</w:t>
            </w:r>
          </w:p>
        </w:tc>
        <w:tc>
          <w:tcPr>
            <w:tcW w:type="dxa" w:w="1440"/>
          </w:tcPr>
          <w:p>
            <w:r>
              <w:rPr>
                <w:rFonts w:ascii="Calibri" w:hAnsi="Calibri"/>
                <w:sz w:val="22"/>
              </w:rPr>
              <w:t>SVP — General Counsel</w:t>
            </w:r>
          </w:p>
        </w:tc>
        <w:tc>
          <w:tcPr>
            <w:tcW w:type="dxa" w:w="1440"/>
          </w:tcPr>
          <w:p>
            <w:r>
              <w:rPr>
                <w:rFonts w:ascii="Calibri" w:hAnsi="Calibri"/>
                <w:sz w:val="22"/>
              </w:rPr>
              <w:t>10b5-1 Planned Sale</w:t>
            </w:r>
          </w:p>
        </w:tc>
        <w:tc>
          <w:tcPr>
            <w:tcW w:type="dxa" w:w="1440"/>
          </w:tcPr>
          <w:p>
            <w:r>
              <w:rPr>
                <w:rFonts w:ascii="Calibri" w:hAnsi="Calibri"/>
                <w:sz w:val="22"/>
              </w:rPr>
              <w:t>158</w:t>
            </w:r>
          </w:p>
        </w:tc>
        <w:tc>
          <w:tcPr>
            <w:tcW w:type="dxa" w:w="1440"/>
          </w:tcPr>
          <w:p>
            <w:r>
              <w:rPr>
                <w:rFonts w:ascii="Calibri" w:hAnsi="Calibri"/>
                <w:sz w:val="22"/>
              </w:rPr>
              <w:t>Jun 1, 2026</w:t>
            </w:r>
          </w:p>
        </w:tc>
        <w:tc>
          <w:tcPr>
            <w:tcW w:type="dxa" w:w="1440"/>
          </w:tcPr>
          <w:p>
            <w:r>
              <w:rPr>
                <w:rFonts w:ascii="Calibri" w:hAnsi="Calibri"/>
                <w:sz w:val="22"/>
              </w:rPr>
              <w:t>Pre-scheduled 10b5-1 plan; routine monthly sale; no discretionary signal</w:t>
            </w:r>
          </w:p>
        </w:tc>
      </w:tr>
      <w:tr>
        <w:tc>
          <w:tcPr>
            <w:tcW w:type="dxa" w:w="1440"/>
          </w:tcPr>
          <w:p>
            <w:r>
              <w:rPr>
                <w:rFonts w:ascii="Calibri" w:hAnsi="Calibri"/>
                <w:sz w:val="22"/>
              </w:rPr>
              <w:t>Robert Fauber</w:t>
            </w:r>
          </w:p>
        </w:tc>
        <w:tc>
          <w:tcPr>
            <w:tcW w:type="dxa" w:w="1440"/>
          </w:tcPr>
          <w:p>
            <w:r>
              <w:rPr>
                <w:rFonts w:ascii="Calibri" w:hAnsi="Calibri"/>
                <w:sz w:val="22"/>
              </w:rPr>
              <w:t>President &amp; CEO</w:t>
            </w:r>
          </w:p>
        </w:tc>
        <w:tc>
          <w:tcPr>
            <w:tcW w:type="dxa" w:w="1440"/>
          </w:tcPr>
          <w:p>
            <w:r>
              <w:rPr>
                <w:rFonts w:ascii="Calibri" w:hAnsi="Calibri"/>
                <w:sz w:val="22"/>
              </w:rPr>
              <w:t>10b5-1 Planned Sale</w:t>
            </w:r>
          </w:p>
        </w:tc>
        <w:tc>
          <w:tcPr>
            <w:tcW w:type="dxa" w:w="1440"/>
          </w:tcPr>
          <w:p>
            <w:r>
              <w:rPr>
                <w:rFonts w:ascii="Calibri" w:hAnsi="Calibri"/>
                <w:sz w:val="22"/>
              </w:rPr>
              <w:t>1,467</w:t>
            </w:r>
          </w:p>
        </w:tc>
        <w:tc>
          <w:tcPr>
            <w:tcW w:type="dxa" w:w="1440"/>
          </w:tcPr>
          <w:p>
            <w:r>
              <w:rPr>
                <w:rFonts w:ascii="Calibri" w:hAnsi="Calibri"/>
                <w:sz w:val="22"/>
              </w:rPr>
              <w:t>May 1, 2026</w:t>
            </w:r>
          </w:p>
        </w:tc>
        <w:tc>
          <w:tcPr>
            <w:tcW w:type="dxa" w:w="1440"/>
          </w:tcPr>
          <w:p>
            <w:r>
              <w:rPr>
                <w:rFonts w:ascii="Calibri" w:hAnsi="Calibri"/>
                <w:sz w:val="22"/>
              </w:rPr>
              <w:t>Pre-scheduled 10b5-1 plan; routine monthly sale; no discretionary signal</w:t>
            </w:r>
          </w:p>
        </w:tc>
      </w:tr>
      <w:tr>
        <w:tc>
          <w:tcPr>
            <w:tcW w:type="dxa" w:w="1440"/>
          </w:tcPr>
          <w:p>
            <w:r>
              <w:rPr>
                <w:rFonts w:ascii="Calibri" w:hAnsi="Calibri"/>
                <w:sz w:val="22"/>
              </w:rPr>
              <w:t>Richard G. Steele</w:t>
            </w:r>
          </w:p>
        </w:tc>
        <w:tc>
          <w:tcPr>
            <w:tcW w:type="dxa" w:w="1440"/>
          </w:tcPr>
          <w:p>
            <w:r>
              <w:rPr>
                <w:rFonts w:ascii="Calibri" w:hAnsi="Calibri"/>
                <w:sz w:val="22"/>
              </w:rPr>
              <w:t>SVP — General Counsel</w:t>
            </w:r>
          </w:p>
        </w:tc>
        <w:tc>
          <w:tcPr>
            <w:tcW w:type="dxa" w:w="1440"/>
          </w:tcPr>
          <w:p>
            <w:r>
              <w:rPr>
                <w:rFonts w:ascii="Calibri" w:hAnsi="Calibri"/>
                <w:sz w:val="22"/>
              </w:rPr>
              <w:t>10b5-1 Planned Sale</w:t>
            </w:r>
          </w:p>
        </w:tc>
        <w:tc>
          <w:tcPr>
            <w:tcW w:type="dxa" w:w="1440"/>
          </w:tcPr>
          <w:p>
            <w:r>
              <w:rPr>
                <w:rFonts w:ascii="Calibri" w:hAnsi="Calibri"/>
                <w:sz w:val="22"/>
              </w:rPr>
              <w:t>158</w:t>
            </w:r>
          </w:p>
        </w:tc>
        <w:tc>
          <w:tcPr>
            <w:tcW w:type="dxa" w:w="1440"/>
          </w:tcPr>
          <w:p>
            <w:r>
              <w:rPr>
                <w:rFonts w:ascii="Calibri" w:hAnsi="Calibri"/>
                <w:sz w:val="22"/>
              </w:rPr>
              <w:t>May 1, 2026</w:t>
            </w:r>
          </w:p>
        </w:tc>
        <w:tc>
          <w:tcPr>
            <w:tcW w:type="dxa" w:w="1440"/>
          </w:tcPr>
          <w:p>
            <w:r>
              <w:rPr>
                <w:rFonts w:ascii="Calibri" w:hAnsi="Calibri"/>
                <w:sz w:val="22"/>
              </w:rPr>
              <w:t>Pre-scheduled 10b5-1 plan; routine monthly sale; no discretionary signal</w:t>
            </w:r>
          </w:p>
        </w:tc>
      </w:tr>
    </w:tbl>
    <w:p>
      <w:r>
        <w:rPr>
          <w:rFonts w:ascii="Calibri" w:hAnsi="Calibri"/>
          <w:color w:val="525866"/>
          <w:sz w:val="22"/>
        </w:rPr>
        <w:t>All transactions are pre-scheduled 10b5-1 planned sales. CEO Fauber’s monthly sales of 1,467 shares and General Counsel Steele’s monthly sales of ~157–158 shares appear to be part of regular, recurring 10b5-1 programs. No open-market buys or discretionary sales were filed in the period. The absence of any open-market buying is not unusual given the stock’s premium valuation and the pre-earnings blackout window. No insider signal to read into the print.</w:t>
      </w:r>
    </w:p>
    <w:p>
      <w:r>
        <w:rPr>
          <w:rFonts w:ascii="Calibri" w:hAnsi="Calibri"/>
          <w:color w:val="525866"/>
          <w:sz w:val="22"/>
        </w:rPr>
        <w:t>Source: SEC Form 4 Filings (Insider Transaction Data). Transactions from April 22 – July 21, 2026.</w:t>
      </w:r>
    </w:p>
    <w:p>
      <w:r>
        <w:br w:type="page"/>
      </w:r>
    </w:p>
    <w:p>
      <w:pPr>
        <w:pStyle w:val="Heading2"/>
      </w:pPr>
      <w:r>
        <w:rPr>
          <w:rFonts w:ascii="Calibri" w:hAnsi="Calibri"/>
          <w:b/>
          <w:color w:val="3B4259"/>
          <w:sz w:val="28"/>
        </w:rPr>
        <w:t>9. Key Risks</w:t>
      </w:r>
    </w:p>
    <w:p>
      <w:r>
        <w:rPr>
          <w:rFonts w:ascii="Calibri" w:hAnsi="Calibri"/>
          <w:b/>
          <w:color w:val="525866"/>
          <w:sz w:val="22"/>
        </w:rPr>
        <w:t xml:space="preserve">Key Takeaway: </w:t>
      </w:r>
      <w:r>
        <w:rPr>
          <w:rFonts w:ascii="Calibri" w:hAnsi="Calibri"/>
          <w:color w:val="525866"/>
          <w:sz w:val="22"/>
        </w:rPr>
        <w:t>The primary risk to the Q2 print is a softer-than-expected issuance environment in June, particularly if geopolitical volatility or spread widening compressed deal activity late in the quarter. The secondary risk is MA ARR growth deceleration amid the go-to-market transition under new leadership.</w:t>
      </w:r>
    </w:p>
    <w:p>
      <w:pPr>
        <w:pStyle w:val="ListBullet"/>
        <w:ind w:left="360" w:hanging="360"/>
      </w:pPr>
      <w:r>
        <w:rPr>
          <w:rFonts w:ascii="Calibri" w:hAnsi="Calibri"/>
          <w:b/>
          <w:color w:val="525866"/>
          <w:sz w:val="22"/>
        </w:rPr>
        <w:t xml:space="preserve">Issuance timing / geopolitical volatility: </w:t>
      </w:r>
      <w:r>
        <w:rPr>
          <w:rFonts w:ascii="Calibri" w:hAnsi="Calibri"/>
          <w:color w:val="525866"/>
          <w:sz w:val="22"/>
        </w:rPr>
        <w:t>Management’s Q2 guidance assumed issuance would decline mid-teens sequentially from Q1’s record $2T+ quarter. Any additional risk-off episodes (geopolitical escalation, spread widening) in May–June could have compressed deal activity below this assumption. The Bernstein conference (May 28) noted markets were “quite constructive,” but conditions can shift quickly.</w:t>
      </w:r>
    </w:p>
    <w:p>
      <w:pPr>
        <w:pStyle w:val="ListBullet"/>
        <w:ind w:left="360" w:hanging="360"/>
      </w:pPr>
      <w:r>
        <w:rPr>
          <w:rFonts w:ascii="Calibri" w:hAnsi="Calibri"/>
          <w:b/>
          <w:color w:val="525866"/>
          <w:sz w:val="22"/>
        </w:rPr>
        <w:t xml:space="preserve">MA go-to-market transition risk: </w:t>
      </w:r>
      <w:r>
        <w:rPr>
          <w:rFonts w:ascii="Calibri" w:hAnsi="Calibri"/>
          <w:color w:val="525866"/>
          <w:sz w:val="22"/>
        </w:rPr>
        <w:t>The arrival of new MA CEO Christina Kosmowski in June 2026 introduces execution risk during a leadership transition. Management acknowledged a “gravity” to the current field-sales-heavy model that has contributed to revenue growth deceleration. Any disruption to the sales force or customer relationships during the transition could weigh on ARR growth.</w:t>
      </w:r>
    </w:p>
    <w:p>
      <w:pPr>
        <w:pStyle w:val="ListBullet"/>
        <w:ind w:left="360" w:hanging="360"/>
      </w:pPr>
      <w:r>
        <w:rPr>
          <w:rFonts w:ascii="Calibri" w:hAnsi="Calibri"/>
          <w:b/>
          <w:color w:val="525866"/>
          <w:sz w:val="22"/>
        </w:rPr>
        <w:t xml:space="preserve">AI monetization timeline: </w:t>
      </w:r>
      <w:r>
        <w:rPr>
          <w:rFonts w:ascii="Calibri" w:hAnsi="Calibri"/>
          <w:color w:val="525866"/>
          <w:sz w:val="22"/>
        </w:rPr>
        <w:t>MCO’s AI revenue model (MCP partnerships, enterprise agreements) is in early stages. Management explicitly described a multi-step cadence: announcement → engagement → pilot → signed contract → usage → revenue. Revenue recognition from the Microsoft/Anthropic/AWS partnerships is unlikely to be material in Q2 2026, and any investor disappointment about the pace of monetization could weigh on the stock.</w:t>
      </w:r>
    </w:p>
    <w:p>
      <w:pPr>
        <w:pStyle w:val="ListBullet"/>
        <w:ind w:left="360" w:hanging="360"/>
      </w:pPr>
      <w:r>
        <w:rPr>
          <w:rFonts w:ascii="Calibri" w:hAnsi="Calibri"/>
          <w:b/>
          <w:color w:val="525866"/>
          <w:sz w:val="22"/>
        </w:rPr>
        <w:t xml:space="preserve">ESG headwinds: </w:t>
      </w:r>
      <w:r>
        <w:rPr>
          <w:rFonts w:ascii="Calibri" w:hAnsi="Calibri"/>
          <w:color w:val="525866"/>
          <w:sz w:val="22"/>
        </w:rPr>
        <w:t>MSCI’s Q2 earnings (July 21) flagged a “protracted, cyclical downturn” in sustainability with zero to slightly negative recurring net new sales expected in Q3–Q4 2026. MCO’s ESG Solutions segment faces similar headwinds, particularly in the Americas.</w:t>
      </w:r>
    </w:p>
    <w:p>
      <w:pPr>
        <w:pStyle w:val="ListBullet"/>
        <w:ind w:left="360" w:hanging="360"/>
      </w:pPr>
      <w:r>
        <w:rPr>
          <w:rFonts w:ascii="Calibri" w:hAnsi="Calibri"/>
          <w:b/>
          <w:color w:val="525866"/>
          <w:sz w:val="22"/>
        </w:rPr>
        <w:t xml:space="preserve">Valuation / multiple compression risk: </w:t>
      </w:r>
      <w:r>
        <w:rPr>
          <w:rFonts w:ascii="Calibri" w:hAnsi="Calibri"/>
          <w:color w:val="525866"/>
          <w:sz w:val="22"/>
        </w:rPr>
        <w:t>MCO trades at ~28x NTM P/E — still a premium to peers. Any miss on MIS revenue or MA ARR, or any guidance cut, could trigger meaningful multiple compression given the stock’s 8-quarter beat streak has set high implicit expectations.</w:t>
      </w:r>
    </w:p>
    <w:p>
      <w:pPr>
        <w:pStyle w:val="ListBullet"/>
        <w:ind w:left="360" w:hanging="360"/>
      </w:pPr>
      <w:r>
        <w:rPr>
          <w:rFonts w:ascii="Calibri" w:hAnsi="Calibri"/>
          <w:b/>
          <w:color w:val="525866"/>
          <w:sz w:val="22"/>
        </w:rPr>
        <w:t xml:space="preserve">Regulatory / AI governance risk: </w:t>
      </w:r>
      <w:r>
        <w:rPr>
          <w:rFonts w:ascii="Calibri" w:hAnsi="Calibri"/>
          <w:color w:val="525866"/>
          <w:sz w:val="22"/>
        </w:rPr>
        <w:t>Management flagged “heightened sensitivity” from regulators around AI making decisions in credit ratings and lending. Any regulatory action or increased scrutiny of AI-enabled rating processes could slow MCO’s efficiency gains and margin expansion.</w:t>
      </w:r>
    </w:p>
    <w:p>
      <w:pPr>
        <w:pStyle w:val="ListBullet"/>
        <w:ind w:left="360" w:hanging="360"/>
      </w:pPr>
      <w:r>
        <w:rPr>
          <w:rFonts w:ascii="Calibri" w:hAnsi="Calibri"/>
          <w:b/>
          <w:color w:val="525866"/>
          <w:sz w:val="22"/>
        </w:rPr>
        <w:t xml:space="preserve">Private credit credit stress: </w:t>
      </w:r>
      <w:r>
        <w:rPr>
          <w:rFonts w:ascii="Calibri" w:hAnsi="Calibri"/>
          <w:color w:val="525866"/>
          <w:sz w:val="22"/>
        </w:rPr>
        <w:t>Increased credit stress in private credit markets (flagged by management in Q1) could be a double-edged sword — driving demand for independent ratings (positive) but also potentially slowing new issuance if lenders become more cautious (negative for MIS transactional revenue).</w:t>
      </w:r>
    </w:p>
    <w:p>
      <w:pPr>
        <w:pStyle w:val="ListBullet"/>
        <w:ind w:left="360" w:hanging="360"/>
      </w:pPr>
      <w:r>
        <w:rPr>
          <w:rFonts w:ascii="Calibri" w:hAnsi="Calibri"/>
          <w:b/>
          <w:color w:val="525866"/>
          <w:sz w:val="22"/>
        </w:rPr>
        <w:t xml:space="preserve">FX headwinds: </w:t>
      </w:r>
      <w:r>
        <w:rPr>
          <w:rFonts w:ascii="Calibri" w:hAnsi="Calibri"/>
          <w:color w:val="525866"/>
          <w:sz w:val="22"/>
        </w:rPr>
        <w:t>MCO generates ~40% of revenue outside the U.S. Management’s guidance assumes GBP/USD of $1.32 and EUR/USD of $1.15 for the remainder of 2026. Any significant USD strengthening could create a headwind to reported revenue and EPS.</w:t>
      </w:r>
    </w:p>
    <w:p>
      <w:r>
        <w:br w:type="page"/>
      </w:r>
    </w:p>
    <w:p>
      <w:pPr>
        <w:pStyle w:val="Heading2"/>
      </w:pPr>
      <w:r>
        <w:rPr>
          <w:rFonts w:ascii="Calibri" w:hAnsi="Calibri"/>
          <w:b/>
          <w:color w:val="3B4259"/>
          <w:sz w:val="28"/>
        </w:rPr>
        <w:t>Appendix: Data Sources &amp; Citations</w:t>
      </w:r>
    </w:p>
    <w:p>
      <w:pPr>
        <w:pStyle w:val="ListBullet"/>
        <w:ind w:left="360" w:hanging="360"/>
      </w:pPr>
      <w:r>
        <w:rPr>
          <w:rFonts w:ascii="Calibri" w:hAnsi="Calibri"/>
          <w:b/>
          <w:color w:val="525866"/>
          <w:sz w:val="22"/>
        </w:rPr>
        <w:t>Visible Alpha Consensus and Actuals Data</w:t>
      </w:r>
      <w:r>
        <w:rPr>
          <w:rFonts w:ascii="Calibri" w:hAnsi="Calibri"/>
          <w:color w:val="525866"/>
          <w:sz w:val="22"/>
        </w:rPr>
        <w:t xml:space="preserve"> — All KPI consensus estimates and historical actuals (Revenue, MIS Revenue, MA Revenue, MA ARR, Adj. Operating EPS, Adj. Operating Income). Consensus as of July 21, 2026; baseline as of April 29, 2026.</w:t>
      </w:r>
    </w:p>
    <w:p>
      <w:pPr>
        <w:pStyle w:val="ListBullet"/>
        <w:ind w:left="360" w:hanging="360"/>
      </w:pPr>
      <w:r>
        <w:rPr>
          <w:rFonts w:ascii="Calibri" w:hAnsi="Calibri"/>
          <w:b/>
          <w:color w:val="525866"/>
          <w:sz w:val="22"/>
        </w:rPr>
        <w:t>MCO Q1 2026 Earnings Release</w:t>
      </w:r>
      <w:r>
        <w:rPr>
          <w:rFonts w:ascii="Calibri" w:hAnsi="Calibri"/>
          <w:color w:val="525866"/>
          <w:sz w:val="22"/>
        </w:rPr>
        <w:t xml:space="preserve"> — April 22, 2026. Source of Q1 2026 actuals, Q2 2026 guidance, and full-year 2026 guidance.</w:t>
      </w:r>
    </w:p>
    <w:p>
      <w:pPr>
        <w:pStyle w:val="ListBullet"/>
        <w:ind w:left="360" w:hanging="360"/>
      </w:pPr>
      <w:r>
        <w:rPr>
          <w:rFonts w:ascii="Calibri" w:hAnsi="Calibri"/>
          <w:b/>
          <w:color w:val="525866"/>
          <w:sz w:val="22"/>
        </w:rPr>
        <w:t>MCO Q1 2026 Earnings Call Transcript</w:t>
      </w:r>
      <w:r>
        <w:rPr>
          <w:rFonts w:ascii="Calibri" w:hAnsi="Calibri"/>
          <w:color w:val="525866"/>
          <w:sz w:val="22"/>
        </w:rPr>
        <w:t xml:space="preserve"> — April 22, 2026. Source of management commentary on issuance assumptions, segment guidance, and strategic priorities.</w:t>
      </w:r>
    </w:p>
    <w:p>
      <w:pPr>
        <w:pStyle w:val="ListBullet"/>
        <w:ind w:left="360" w:hanging="360"/>
      </w:pPr>
      <w:r>
        <w:rPr>
          <w:rFonts w:ascii="Calibri" w:hAnsi="Calibri"/>
          <w:b/>
          <w:color w:val="525866"/>
          <w:sz w:val="22"/>
        </w:rPr>
        <w:t>MCO Bernstein Strategic Decisions Conference Transcript</w:t>
      </w:r>
      <w:r>
        <w:rPr>
          <w:rFonts w:ascii="Calibri" w:hAnsi="Calibri"/>
          <w:color w:val="525866"/>
          <w:sz w:val="22"/>
        </w:rPr>
        <w:t xml:space="preserve"> — May 28, 2026. Source of guidance reaffirmation, Q2 issuance commentary, and AI monetization update.</w:t>
      </w:r>
    </w:p>
    <w:p>
      <w:pPr>
        <w:pStyle w:val="ListBullet"/>
        <w:ind w:left="360" w:hanging="360"/>
      </w:pPr>
      <w:r>
        <w:rPr>
          <w:rFonts w:ascii="Calibri" w:hAnsi="Calibri"/>
          <w:b/>
          <w:color w:val="525866"/>
          <w:sz w:val="22"/>
        </w:rPr>
        <w:t>MCO Generative AI Strategy Call Transcript</w:t>
      </w:r>
      <w:r>
        <w:rPr>
          <w:rFonts w:ascii="Calibri" w:hAnsi="Calibri"/>
          <w:color w:val="525866"/>
          <w:sz w:val="22"/>
        </w:rPr>
        <w:t xml:space="preserve"> — June 8, 2026. Source of AI monetization framework, MCP pricing model, and partner ecosystem details.</w:t>
      </w:r>
    </w:p>
    <w:p>
      <w:pPr>
        <w:pStyle w:val="ListBullet"/>
        <w:ind w:left="360" w:hanging="360"/>
      </w:pPr>
      <w:r>
        <w:rPr>
          <w:rFonts w:ascii="Calibri" w:hAnsi="Calibri"/>
          <w:b/>
          <w:color w:val="525866"/>
          <w:sz w:val="22"/>
        </w:rPr>
        <w:t>SPGI Bernstein Strategic Decisions Conference Transcript</w:t>
      </w:r>
      <w:r>
        <w:rPr>
          <w:rFonts w:ascii="Calibri" w:hAnsi="Calibri"/>
          <w:color w:val="525866"/>
          <w:sz w:val="22"/>
        </w:rPr>
        <w:t xml:space="preserve"> — May 27, 2026. Peer commentary on ratings issuance outlook, AI data pricing, and private credit.</w:t>
      </w:r>
    </w:p>
    <w:p>
      <w:pPr>
        <w:pStyle w:val="ListBullet"/>
        <w:ind w:left="360" w:hanging="360"/>
      </w:pPr>
      <w:r>
        <w:rPr>
          <w:rFonts w:ascii="Calibri" w:hAnsi="Calibri"/>
          <w:b/>
          <w:color w:val="525866"/>
          <w:sz w:val="22"/>
        </w:rPr>
        <w:t>SPGI Mizuho Technology Conference Transcript</w:t>
      </w:r>
      <w:r>
        <w:rPr>
          <w:rFonts w:ascii="Calibri" w:hAnsi="Calibri"/>
          <w:color w:val="525866"/>
          <w:sz w:val="22"/>
        </w:rPr>
        <w:t xml:space="preserve"> — June 10, 2026. Peer commentary on hyperscaler issuance, API call volumes, and maturity walls.</w:t>
      </w:r>
    </w:p>
    <w:p>
      <w:pPr>
        <w:pStyle w:val="ListBullet"/>
        <w:ind w:left="360" w:hanging="360"/>
      </w:pPr>
      <w:r>
        <w:rPr>
          <w:rFonts w:ascii="Calibri" w:hAnsi="Calibri"/>
          <w:b/>
          <w:color w:val="525866"/>
          <w:sz w:val="22"/>
        </w:rPr>
        <w:t>MSCI Bernstein Strategic Decisions Conference Transcript</w:t>
      </w:r>
      <w:r>
        <w:rPr>
          <w:rFonts w:ascii="Calibri" w:hAnsi="Calibri"/>
          <w:color w:val="525866"/>
          <w:sz w:val="22"/>
        </w:rPr>
        <w:t xml:space="preserve"> — May 28, 2026. Peer commentary on private assets, Moody’s partnership, and AI demand.</w:t>
      </w:r>
    </w:p>
    <w:p>
      <w:pPr>
        <w:pStyle w:val="ListBullet"/>
        <w:ind w:left="360" w:hanging="360"/>
      </w:pPr>
      <w:r>
        <w:rPr>
          <w:rFonts w:ascii="Calibri" w:hAnsi="Calibri"/>
          <w:b/>
          <w:color w:val="525866"/>
          <w:sz w:val="22"/>
        </w:rPr>
        <w:t>MSCI Private Assets Business Update Webinar Transcript</w:t>
      </w:r>
      <w:r>
        <w:rPr>
          <w:rFonts w:ascii="Calibri" w:hAnsi="Calibri"/>
          <w:color w:val="525866"/>
          <w:sz w:val="22"/>
        </w:rPr>
        <w:t xml:space="preserve"> — June 25, 2026. Peer commentary on PCS growth, Moody’s Analytics integration, and infrastructure.</w:t>
      </w:r>
    </w:p>
    <w:p>
      <w:pPr>
        <w:pStyle w:val="ListBullet"/>
        <w:ind w:left="360" w:hanging="360"/>
      </w:pPr>
      <w:r>
        <w:rPr>
          <w:rFonts w:ascii="Calibri" w:hAnsi="Calibri"/>
          <w:b/>
          <w:color w:val="525866"/>
          <w:sz w:val="22"/>
        </w:rPr>
        <w:t>MSCI Q2 2026 Earnings Call Transcript</w:t>
      </w:r>
      <w:r>
        <w:rPr>
          <w:rFonts w:ascii="Calibri" w:hAnsi="Calibri"/>
          <w:color w:val="525866"/>
          <w:sz w:val="22"/>
        </w:rPr>
        <w:t xml:space="preserve"> — July 21, 2026. Peer commentary on Q2 results, private assets, sustainability headwinds, and H2 outlook.</w:t>
      </w:r>
    </w:p>
    <w:p>
      <w:pPr>
        <w:pStyle w:val="ListBullet"/>
        <w:ind w:left="360" w:hanging="360"/>
      </w:pPr>
      <w:r>
        <w:rPr>
          <w:rFonts w:ascii="Calibri" w:hAnsi="Calibri"/>
          <w:b/>
          <w:color w:val="525866"/>
          <w:sz w:val="22"/>
        </w:rPr>
        <w:t>FactSet Q3 2026 Earnings Call Transcript</w:t>
      </w:r>
      <w:r>
        <w:rPr>
          <w:rFonts w:ascii="Calibri" w:hAnsi="Calibri"/>
          <w:color w:val="525866"/>
          <w:sz w:val="22"/>
        </w:rPr>
        <w:t xml:space="preserve"> — July 1, 2026. Peer commentary on AI-driven data demand, API volumes, dealmaker activity, and Q4 guidance.</w:t>
      </w:r>
    </w:p>
    <w:p>
      <w:pPr>
        <w:pStyle w:val="ListBullet"/>
        <w:ind w:left="360" w:hanging="360"/>
      </w:pPr>
      <w:r>
        <w:rPr>
          <w:rFonts w:ascii="Calibri" w:hAnsi="Calibri"/>
          <w:b/>
          <w:color w:val="525866"/>
          <w:sz w:val="22"/>
        </w:rPr>
        <w:t>SEC Form 4 Filings (Insider Transaction Data)</w:t>
      </w:r>
      <w:r>
        <w:rPr>
          <w:rFonts w:ascii="Calibri" w:hAnsi="Calibri"/>
          <w:color w:val="525866"/>
          <w:sz w:val="22"/>
        </w:rPr>
        <w:t xml:space="preserve"> — MCO insider transactions from April 22 – July 21, 2026.</w:t>
      </w:r>
    </w:p>
    <w:p>
      <w:pPr>
        <w:pStyle w:val="ListBullet"/>
        <w:ind w:left="360" w:hanging="360"/>
      </w:pPr>
      <w:r>
        <w:rPr>
          <w:rFonts w:ascii="Calibri" w:hAnsi="Calibri"/>
          <w:b/>
          <w:color w:val="525866"/>
          <w:sz w:val="22"/>
        </w:rPr>
        <w:t>Stock Price Data (Yahoo Finance)</w:t>
      </w:r>
      <w:r>
        <w:rPr>
          <w:rFonts w:ascii="Calibri" w:hAnsi="Calibri"/>
          <w:color w:val="525866"/>
          <w:sz w:val="22"/>
        </w:rPr>
        <w:t xml:space="preserve"> — MCO, XLF, SPY daily closing prices from April 22 – July 21, 2026.</w:t>
      </w:r>
    </w:p>
    <w:p>
      <w:pPr>
        <w:pStyle w:val="ListBullet"/>
        <w:ind w:left="360" w:hanging="360"/>
      </w:pPr>
      <w:r>
        <w:rPr>
          <w:rFonts w:ascii="Calibri" w:hAnsi="Calibri"/>
          <w:b/>
          <w:color w:val="525866"/>
          <w:sz w:val="22"/>
        </w:rPr>
        <w:t>Stock Performance Decomposition Data</w:t>
      </w:r>
      <w:r>
        <w:rPr>
          <w:rFonts w:ascii="Calibri" w:hAnsi="Calibri"/>
          <w:color w:val="525866"/>
          <w:sz w:val="22"/>
        </w:rPr>
        <w:t xml:space="preserve"> — NTM valuation multiples and performance attribution for MCO as of July 21, 2026.</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