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mm-earnings-predictions--2026-07-21"/>
    <w:p>
      <w:pPr>
        <w:pStyle w:val="Heading1"/>
      </w:pPr>
      <w:r>
        <w:t xml:space="preserve">MMM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Beat-and-modest-raise likely sparks a day-1 pop, but the H2 mathet tempers follow-through: management's ownanaged that own framing has first-half EPS exceeding second-half (contingency</w:t>
            </w:r>
            <w:r>
              <w:t xml:space="preserve"> </w:t>
            </w:r>
            <m:oMath>
              <m:r>
                <m:t>0.05</m:t>
              </m:r>
              <m:r>
                <m:rPr>
                  <m:sty m:val="p"/>
                </m:rPr>
                <m:t>−</m:t>
              </m:r>
            </m:oMath>
            <w:r>
              <w:t xml:space="preserve">0.15 held for H2 oil/macro), so out-quarter estimates get trimmed even after a Q2 beat. Pre-buy payback risk on the ~10% order surge and slight margin softness (~24.5% vs 24.65% cons) cap upside, driving a partial give-back of the initial move.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2026-07-21T00:46:24Z</dcterms:created>
  <dcterms:modified xsi:type="dcterms:W3CDTF">2026-07-21T00:46:24Z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