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MMM before writing the preview. Let me start by gathering recent earnings materials and news.Let me read the most recent earnings call (2026Q1) and release, plus check the Q4 2025 call for guidance context.Good detail from the Q1 release. Let me retry the transcript read (the call commentary matters) and grab stock price plus consensus context.Let me quickly grab the year-ago Q2 2025 numbers for comparison and any recent analyst actions.I have everything I need. Here's the earnings preview.</w:t>
      </w:r>
    </w:p>
    <w:p>
      <w:r>
        <w:pict>
          <v:rect style="width:0;height:1.5pt" o:hralign="center" o:hrstd="t" o:hr="t"/>
        </w:pict>
      </w:r>
    </w:p>
    <w:bookmarkStart w:id="17" w:name="X931281053314d800b145b534c47f85e8e7a6bf7"/>
    <w:p>
      <w:pPr>
        <w:pStyle w:val="Heading1"/>
      </w:pPr>
      <w:r>
        <w:t xml:space="preserve">3M Company (MMM) — Q2 2026 Earnings Preview</w:t>
      </w:r>
    </w:p>
    <w:bookmarkStart w:id="9" w:name="X40cc5678e6cdbba2658e19c2be8c608f2d07dc8"/>
    <w:p>
      <w:pPr>
        <w:pStyle w:val="Heading3"/>
      </w:pPr>
      <w:r>
        <w:t xml:space="preserve">Reports before the open, Tuesday, July 21, 2026 · 2026Q2 Earnings Call @ 9:00 a.m. ET</w:t>
      </w:r>
    </w:p>
    <w:p>
      <w:r>
        <w:pict>
          <v:rect style="width:0;height:1.5pt" o:hralign="center" o:hrstd="t" o:hr="t"/>
        </w:pict>
      </w:r>
    </w:p>
    <w:bookmarkEnd w:id="9"/>
    <w:bookmarkStart w:id="10" w:name="Xae6f292db010770e3923e5f374da821abf65b5e"/>
    <w:p>
      <w:pPr>
        <w:pStyle w:val="Heading2"/>
      </w:pPr>
      <w:r>
        <w:t xml:space="preserve">1. The Setup in One Paragraph</w:t>
      </w:r>
    </w:p>
    <w:p>
      <w:pPr>
        <w:pStyle w:val="FirstParagraph"/>
      </w:pPr>
      <w:r>
        <w:t xml:space="preserve">This is a "prove the acceleration" quarter. 3M's whole 2026 story hinges on the second half being stronger than the first, and Q2 is the first data point that has to validate that. On the Q1 call, management explicitly guided Q2 organic growth</w:t>
      </w:r>
      <w:r>
        <w:t xml:space="preserve"> </w:t>
      </w:r>
      <w:r>
        <w:rPr>
          <w:b/>
          <w:bCs/>
        </w:rPr>
        <w:t xml:space="preserve">above 3%</w:t>
      </w:r>
      <w:r>
        <w:t xml:space="preserve"> </w:t>
      </w:r>
      <w:r>
        <w:t xml:space="preserve">(vs. just +1.2% in Q1), with all three business groups accelerating — a claim they backed with orders up ~10% and backlog up ~20% YoY / ~35% sequentially. The catch: management flagged that some of that order strength may be a</w:t>
      </w:r>
      <w:r>
        <w:t xml:space="preserve"> </w:t>
      </w:r>
      <w:r>
        <w:rPr>
          <w:b/>
          <w:bCs/>
        </w:rPr>
        <w:t xml:space="preserve">pre-buy</w:t>
      </w:r>
      <w:r>
        <w:t xml:space="preserve"> </w:t>
      </w:r>
      <w:r>
        <w:t xml:space="preserve">ahead of April 1 and oil-driven price increases. So the market will be laser-focused on whether Q2 organic actually cleared 3% on real demand, or whether a chunk of it is pull-forward that reverses.</w:t>
      </w:r>
    </w:p>
    <w:p>
      <w:pPr>
        <w:pStyle w:val="BodyText"/>
      </w:pPr>
      <w:r>
        <w:rPr>
          <w:b/>
          <w:bCs/>
        </w:rPr>
        <w:t xml:space="preserve">Where the stock sits going in:</w:t>
      </w:r>
    </w:p>
    <w:p>
      <w:pPr>
        <w:pStyle w:val="Compact"/>
        <w:numPr>
          <w:ilvl w:val="0"/>
          <w:numId w:val="1001"/>
        </w:numPr>
      </w:pPr>
      <w:r>
        <w:t xml:space="preserve">Last close (7/20): **~</w:t>
      </w:r>
      <m:oMath>
        <m:r>
          <m:t>159</m:t>
        </m:r>
        <m:r>
          <m:rPr>
            <m:sty m:val="p"/>
          </m:rPr>
          <m:t>*</m:t>
        </m:r>
        <m:r>
          <m:rPr>
            <m:sty m:val="p"/>
          </m:rPr>
          <m:t>*</m:t>
        </m:r>
        <m:r>
          <m:rPr>
            <m:sty m:val="p"/>
          </m:rPr>
          <m:t>,</m:t>
        </m:r>
        <m:r>
          <m:t>r</m:t>
        </m:r>
        <m:r>
          <m:t>o</m:t>
        </m:r>
        <m:r>
          <m:t>u</m:t>
        </m:r>
        <m:r>
          <m:t>g</m:t>
        </m:r>
        <m:r>
          <m:t>h</m:t>
        </m:r>
        <m:r>
          <m:t>l</m:t>
        </m:r>
        <m:r>
          <m:t>y</m:t>
        </m:r>
        <m:r>
          <m:rPr>
            <m:sty m:val="p"/>
          </m:rPr>
          <m:t>*</m:t>
        </m:r>
        <m:r>
          <m:rPr>
            <m:sty m:val="p"/>
          </m:rPr>
          <m:t>*</m:t>
        </m:r>
        <m:r>
          <m:t>f</m:t>
        </m:r>
        <m:r>
          <m:t>l</m:t>
        </m:r>
        <m:r>
          <m:t>a</m:t>
        </m:r>
        <m:r>
          <m:t>t</m:t>
        </m:r>
        <m:r>
          <m:t>Y</m:t>
        </m:r>
        <m:r>
          <m:t>T</m:t>
        </m:r>
        <m:r>
          <m:t>D</m:t>
        </m:r>
        <m:r>
          <m:rPr>
            <m:sty m:val="p"/>
          </m:rPr>
          <m:t>*</m:t>
        </m:r>
        <m:r>
          <m:rPr>
            <m:sty m:val="p"/>
          </m:rPr>
          <m:t>*</m:t>
        </m:r>
        <m:r>
          <m:rPr>
            <m:sty m:val="p"/>
          </m:rPr>
          <m:t>(</m:t>
        </m:r>
        <m:r>
          <m:t>s</m:t>
        </m:r>
        <m:r>
          <m:t>t</m:t>
        </m:r>
        <m:r>
          <m:t>a</m:t>
        </m:r>
        <m:r>
          <m:t>r</m:t>
        </m:r>
        <m:r>
          <m:t>t</m:t>
        </m:r>
        <m:r>
          <m:t>e</m:t>
        </m:r>
        <m:r>
          <m:t>d</m:t>
        </m:r>
        <m:r>
          <m:t>t</m:t>
        </m:r>
        <m:r>
          <m:t>h</m:t>
        </m:r>
        <m:r>
          <m:t>e</m:t>
        </m:r>
        <m:r>
          <m:t>y</m:t>
        </m:r>
        <m:r>
          <m:t>e</m:t>
        </m:r>
        <m:r>
          <m:t>a</m:t>
        </m:r>
        <m:r>
          <m:t>r</m:t>
        </m:r>
        <m:r>
          <m:t> </m:t>
        </m:r>
      </m:oMath>
      <w:r>
        <w:t xml:space="preserve">162).</w:t>
      </w:r>
    </w:p>
    <w:p>
      <w:pPr>
        <w:pStyle w:val="Compact"/>
        <w:numPr>
          <w:ilvl w:val="0"/>
          <w:numId w:val="1001"/>
        </w:numPr>
      </w:pPr>
      <w:r>
        <w:t xml:space="preserve">The stock swooned to ~$141 in late March amid tariff/macro fear, then rallied ~13% off that low into the print.</w:t>
      </w:r>
    </w:p>
    <w:p>
      <w:pPr>
        <w:pStyle w:val="Compact"/>
        <w:numPr>
          <w:ilvl w:val="0"/>
          <w:numId w:val="1001"/>
        </w:numPr>
      </w:pPr>
      <w:r>
        <w:t xml:space="preserve">Net: expectations have rebuilt, so there's less margin for a sloppy quarter than there was three months ago.</w:t>
      </w:r>
    </w:p>
    <w:p>
      <w:r>
        <w:pict>
          <v:rect style="width:0;height:1.5pt" o:hralign="center" o:hrstd="t" o:hr="t"/>
        </w:pict>
      </w:r>
    </w:p>
    <w:bookmarkEnd w:id="10"/>
    <w:bookmarkStart w:id="11" w:name="X07034c3b35d37eba1c6d5cb41fa8675be0f21ec"/>
    <w:p>
      <w:pPr>
        <w:pStyle w:val="Heading2"/>
      </w:pPr>
      <w:r>
        <w:t xml:space="preserve">2. What the Street Expects</w:t>
      </w:r>
    </w:p>
    <w:p>
      <w:pPr>
        <w:pStyle w:val="FirstParagraph"/>
      </w:pPr>
      <w:r>
        <w:t xml:space="preserve">Per the pre-earnings sentiment digest, the Street is modeling for Q2: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Adjusted organic growth</w:t>
            </w:r>
          </w:p>
        </w:tc>
        <w:tc>
          <w:tcPr/>
          <w:p>
            <w:pPr>
              <w:pStyle w:val="Compact"/>
            </w:pPr>
            <w:r>
              <w:t xml:space="preserve">~3.15%</w:t>
            </w:r>
          </w:p>
        </w:tc>
        <w:tc>
          <w:tcPr/>
          <w:p>
            <w:pPr>
              <w:pStyle w:val="Compact"/>
            </w:pPr>
            <w:r>
              <w:t xml:space="preserve">+1.5%</w:t>
            </w:r>
          </w:p>
        </w:tc>
        <w:tc>
          <w:tcPr/>
          <w:p>
            <w:pPr>
              <w:pStyle w:val="Compact"/>
            </w:pPr>
            <w:r>
              <w:t xml:space="preserve">Accelerating ~1.6pts</w:t>
            </w:r>
          </w:p>
        </w:tc>
      </w:tr>
      <w:tr>
        <w:tc>
          <w:tcPr/>
          <w:p>
            <w:pPr>
              <w:pStyle w:val="Compact"/>
            </w:pPr>
            <w:r>
              <w:t xml:space="preserve">Adjusted operating margin</w:t>
            </w:r>
          </w:p>
        </w:tc>
        <w:tc>
          <w:tcPr/>
          <w:p>
            <w:pPr>
              <w:pStyle w:val="Compact"/>
            </w:pPr>
            <w:r>
              <w:t xml:space="preserve">~24.65%</w:t>
            </w:r>
          </w:p>
        </w:tc>
        <w:tc>
          <w:tcPr/>
          <w:p>
            <w:pPr>
              <w:pStyle w:val="Compact"/>
            </w:pPr>
            <w:r>
              <w:t xml:space="preserve">24.5%</w:t>
            </w:r>
          </w:p>
        </w:tc>
        <w:tc>
          <w:tcPr/>
          <w:p>
            <w:pPr>
              <w:pStyle w:val="Compact"/>
            </w:pPr>
            <w:r>
              <w:t xml:space="preserve">+~15 bps</w:t>
            </w:r>
          </w:p>
        </w:tc>
      </w:tr>
      <w:tr>
        <w:tc>
          <w:tcPr/>
          <w:p>
            <w:pPr>
              <w:pStyle w:val="Compact"/>
            </w:pPr>
            <w:r>
              <w:t xml:space="preserve">Adjusted EPS</w:t>
            </w:r>
          </w:p>
        </w:tc>
        <w:tc>
          <w:tcPr/>
          <w:p>
            <w:pPr>
              <w:pStyle w:val="Compact"/>
            </w:pPr>
            <w:r>
              <w:t xml:space="preserve">$2.24</w:t>
            </w:r>
          </w:p>
        </w:tc>
        <w:tc>
          <w:tcPr/>
          <w:p>
            <w:pPr>
              <w:pStyle w:val="Compact"/>
            </w:pPr>
            <w:r>
              <w:t xml:space="preserve">$2.16</w:t>
            </w:r>
          </w:p>
        </w:tc>
        <w:tc>
          <w:tcPr/>
          <w:p>
            <w:pPr>
              <w:pStyle w:val="Compact"/>
            </w:pPr>
            <w:r>
              <w:t xml:space="preserve">+~3.7%</w:t>
            </w:r>
          </w:p>
        </w:tc>
      </w:tr>
    </w:tbl>
    <w:p>
      <w:pPr>
        <w:pStyle w:val="BodyText"/>
      </w:pPr>
      <w:r>
        <w:t xml:space="preserve">Sentiment heading in is described as</w:t>
      </w:r>
      <w:r>
        <w:t xml:space="preserve"> </w:t>
      </w:r>
      <w:r>
        <w:rPr>
          <w:b/>
          <w:bCs/>
        </w:rPr>
        <w:t xml:space="preserve">generally positive</w:t>
      </w:r>
      <w:r>
        <w:t xml:space="preserve">, with investors hopeful that Bill Brown's operational overhaul and portfolio reshaping will keep driving growth and margins despite a mixed macro.</w:t>
      </w:r>
    </w:p>
    <w:p>
      <w:pPr>
        <w:pStyle w:val="BodyText"/>
      </w:pPr>
      <w:r>
        <w:rPr>
          <w:b/>
          <w:bCs/>
        </w:rPr>
        <w:t xml:space="preserve">Key context for the EPS bar:</w:t>
      </w:r>
      <w:r>
        <w:t xml:space="preserve"> </w:t>
      </w:r>
      <w:r>
        <w:t xml:space="preserve">on the Q1 call, CFO Anurag Maheshwari framed Q2 EPS growth as "**more than</w:t>
      </w:r>
      <w:r>
        <w:t xml:space="preserve"> </w:t>
      </w:r>
      <w:r>
        <w:t xml:space="preserve">$0.05**" YoY — modest — because of two below-the-line headwinds (a ~$</w:t>
      </w:r>
      <w:r>
        <w:t xml:space="preserve">0.08–0.10 gain on an India investment sale that lapped in Q2 2025, plus a tax item reversing from Q1). That means the</w:t>
      </w:r>
      <w:r>
        <w:t xml:space="preserve"> </w:t>
      </w:r>
      <w:r>
        <w:rPr>
          <w:b/>
          <w:bCs/>
        </w:rPr>
        <w:t xml:space="preserve">quality</w:t>
      </w:r>
      <w:r>
        <w:t xml:space="preserve"> </w:t>
      </w:r>
      <w:r>
        <w:t xml:space="preserve">of the beat (operating vs. below-the-line) matters. Consensus of</w:t>
      </w:r>
      <w:r>
        <w:t xml:space="preserve"> </w:t>
      </w:r>
      <w:r>
        <w:t xml:space="preserve">$2.24 sits slightly above management's implied "$</w:t>
      </w:r>
      <w:r>
        <w:t xml:space="preserve">2.16 + a nickel-plus."</w:t>
      </w:r>
    </w:p>
    <w:p>
      <w:r>
        <w:pict>
          <v:rect style="width:0;height:1.5pt" o:hralign="center" o:hrstd="t" o:hr="t"/>
        </w:pict>
      </w:r>
    </w:p>
    <w:bookmarkEnd w:id="11"/>
    <w:bookmarkStart w:id="12" w:name="Xb60226453a7930163135bf6e82e55ae66cfcaba"/>
    <w:p>
      <w:pPr>
        <w:pStyle w:val="Heading2"/>
      </w:pPr>
      <w:r>
        <w:t xml:space="preserve">3. The Three Debates That Will Move the Stock</w:t>
      </w:r>
    </w:p>
    <w:p>
      <w:pPr>
        <w:pStyle w:val="FirstParagraph"/>
      </w:pPr>
      <w:r>
        <w:rPr>
          <w:b/>
          <w:bCs/>
        </w:rPr>
        <w:t xml:space="preserve">① Was the order surge real demand or a pre-buy?</w:t>
      </w:r>
      <w:r>
        <w:t xml:space="preserve"> </w:t>
      </w:r>
      <w:r>
        <w:t xml:space="preserve">Management could not cleanly quantify how much of the Q1 order strength was pull-forward ahead of the annual April 1 price increase plus an incremental oil-driven price action. They said any pre-buy "will wash out in Q2." Watch: did Q2 organic hit &gt;3%</w:t>
      </w:r>
      <w:r>
        <w:t xml:space="preserve"> </w:t>
      </w:r>
      <w:r>
        <w:rPr>
          <w:i/>
          <w:iCs/>
        </w:rPr>
        <w:t xml:space="preserve">and</w:t>
      </w:r>
      <w:r>
        <w:t xml:space="preserve"> </w:t>
      </w:r>
      <w:r>
        <w:t xml:space="preserve">did order/backlog momentum hold into Q2/July? If orders normalized hard, the H2 acceleration thesis weakens.</w:t>
      </w:r>
    </w:p>
    <w:p>
      <w:pPr>
        <w:pStyle w:val="BodyText"/>
      </w:pPr>
      <w:r>
        <w:rPr>
          <w:b/>
          <w:bCs/>
        </w:rPr>
        <w:t xml:space="preserve">② Do they raise guidance / release the contingency?</w:t>
      </w:r>
      <w:r>
        <w:t xml:space="preserve"> </w:t>
      </w:r>
      <w:r>
        <w:t xml:space="preserve">3M carries a</w:t>
      </w:r>
      <w:r>
        <w:t xml:space="preserve"> </w:t>
      </w:r>
      <m:oMath>
        <m:r>
          <m:t>0.05</m:t>
        </m:r>
        <m:r>
          <m:rPr>
            <m:sty m:val="p"/>
          </m:rPr>
          <m:t>–</m:t>
        </m:r>
      </m:oMath>
      <w:r>
        <w:rPr>
          <w:b/>
          <w:bCs/>
        </w:rPr>
        <w:t xml:space="preserve">0.15 contingency</w:t>
      </w:r>
      <w:r>
        <w:t xml:space="preserve"> </w:t>
      </w:r>
      <w:r>
        <w:t xml:space="preserve">baked into the</w:t>
      </w:r>
      <w:r>
        <w:t xml:space="preserve"> </w:t>
      </w:r>
      <m:oMath>
        <m:r>
          <m:t>8.50</m:t>
        </m:r>
        <m:r>
          <m:rPr>
            <m:sty m:val="p"/>
          </m:rPr>
          <m:t>–</m:t>
        </m:r>
      </m:oMath>
      <w:r>
        <w:t xml:space="preserve">8.70 full-year EPS range, kept for H2 macro/oil uncertainty. On Q1, the CFO said the July call is exactly when they'd "give an update." A</w:t>
      </w:r>
      <w:r>
        <w:t xml:space="preserve"> </w:t>
      </w:r>
      <w:r>
        <w:rPr>
          <w:b/>
          <w:bCs/>
        </w:rPr>
        <w:t xml:space="preserve">guidance raise</w:t>
      </w:r>
      <w:r>
        <w:t xml:space="preserve"> </w:t>
      </w:r>
      <w:r>
        <w:t xml:space="preserve">(or explicit contingency release) is the most likely positive catalyst; simply reiterating</w:t>
      </w:r>
      <w:r>
        <w:t xml:space="preserve"> </w:t>
      </w:r>
      <m:oMath>
        <m:r>
          <m:t>8.50</m:t>
        </m:r>
        <m:r>
          <m:rPr>
            <m:sty m:val="p"/>
          </m:rPr>
          <m:t>–</m:t>
        </m:r>
      </m:oMath>
      <w:r>
        <w:t xml:space="preserve">8.70 despite a Q2 beat may read as conservative — or as a signal H2 risk is real. Note management also said</w:t>
      </w:r>
      <w:r>
        <w:t xml:space="preserve"> </w:t>
      </w:r>
      <w:r>
        <w:rPr>
          <w:b/>
          <w:bCs/>
        </w:rPr>
        <w:t xml:space="preserve">first-half EPS should exceed second-half</w:t>
      </w:r>
      <w:r>
        <w:t xml:space="preserve"> </w:t>
      </w:r>
      <w:r>
        <w:t xml:space="preserve">(because of the contingency), so a strong Q2 alone doesn't de-risk the year.</w:t>
      </w:r>
    </w:p>
    <w:p>
      <w:pPr>
        <w:pStyle w:val="BodyText"/>
      </w:pPr>
      <w:r>
        <w:rPr>
          <w:b/>
          <w:bCs/>
        </w:rPr>
        <w:t xml:space="preserve">③ Price/cost on oil.</w:t>
      </w:r>
      <w:r>
        <w:t xml:space="preserve"> </w:t>
      </w:r>
      <w:r>
        <w:t xml:space="preserve">Higher oil is pushing ~</w:t>
      </w:r>
      <m:oMath>
        <m:r>
          <m:t>125</m:t>
        </m:r>
        <m:r>
          <m:t>M</m:t>
        </m:r>
        <m:r>
          <m:t>o</m:t>
        </m:r>
        <m:r>
          <m:t>f</m:t>
        </m:r>
        <m:r>
          <m:t>r</m:t>
        </m:r>
        <m:r>
          <m:t>a</m:t>
        </m:r>
        <m:r>
          <m:t>w</m:t>
        </m:r>
        <m:r>
          <m:rPr>
            <m:sty m:val="p"/>
          </m:rPr>
          <m:t>−</m:t>
        </m:r>
        <m:r>
          <m:t>m</m:t>
        </m:r>
        <m:r>
          <m:t>a</m:t>
        </m:r>
        <m:r>
          <m:t>t</m:t>
        </m:r>
        <m:r>
          <m:t>e</m:t>
        </m:r>
        <m:r>
          <m:t>r</m:t>
        </m:r>
        <m:r>
          <m:t>i</m:t>
        </m:r>
        <m:r>
          <m:t>a</m:t>
        </m:r>
        <m:r>
          <m:t>l</m:t>
        </m:r>
        <m:r>
          <m:t>c</m:t>
        </m:r>
        <m:r>
          <m:t>o</m:t>
        </m:r>
        <m:r>
          <m:t>s</m:t>
        </m:r>
        <m:r>
          <m:t>t</m:t>
        </m:r>
        <m:r>
          <m:t>i</m:t>
        </m:r>
        <m:r>
          <m:t>n</m:t>
        </m:r>
        <m:r>
          <m:t>f</m:t>
        </m:r>
        <m:r>
          <m:t>l</m:t>
        </m:r>
        <m:r>
          <m:t>a</m:t>
        </m:r>
        <m:r>
          <m:t>t</m:t>
        </m:r>
        <m:r>
          <m:t>i</m:t>
        </m:r>
        <m:r>
          <m:t>o</m:t>
        </m:r>
        <m:r>
          <m:t>n</m:t>
        </m:r>
        <m:r>
          <m:rPr>
            <m:sty m:val="p"/>
          </m:rPr>
          <m:t>(</m:t>
        </m:r>
        <m:r>
          <m:t>a</m:t>
        </m:r>
        <m:r>
          <m:t>b</m:t>
        </m:r>
        <m:r>
          <m:t>o</m:t>
        </m:r>
        <m:r>
          <m:t>u</m:t>
        </m:r>
        <m:r>
          <m:t>t</m:t>
        </m:r>
        <m:r>
          <m:t>a</m:t>
        </m:r>
        <m:r>
          <m:t>t</m:t>
        </m:r>
        <m:r>
          <m:t>h</m:t>
        </m:r>
        <m:r>
          <m:t>i</m:t>
        </m:r>
        <m:r>
          <m:t>r</m:t>
        </m:r>
        <m:r>
          <m:t>d</m:t>
        </m:r>
        <m:r>
          <m:t>o</m:t>
        </m:r>
        <m:r>
          <m:t>f</m:t>
        </m:r>
        <m:r>
          <m:t>3</m:t>
        </m:r>
        <m:sSup>
          <m:e>
            <m:r>
              <m:t>M</m:t>
            </m:r>
          </m:e>
          <m:sup>
            <m:r>
              <m:rPr>
                <m:sty m:val="p"/>
              </m:rPr>
              <m:t>′</m:t>
            </m:r>
          </m:sup>
        </m:sSup>
        <m:r>
          <m:t>s</m:t>
        </m:r>
        <m:r>
          <m:t> </m:t>
        </m:r>
      </m:oMath>
      <w:r>
        <w:t xml:space="preserve">6B raw-material spend is polymer/petro-based). The offset is an</w:t>
      </w:r>
      <w:r>
        <w:t xml:space="preserve"> </w:t>
      </w:r>
      <w:r>
        <w:rPr>
          <w:b/>
          <w:bCs/>
        </w:rPr>
        <w:t xml:space="preserve">incremental ~50 bps of price</w:t>
      </w:r>
      <w:r>
        <w:t xml:space="preserve"> </w:t>
      </w:r>
      <w:r>
        <w:t xml:space="preserve">(embedded, not a formal surcharge), rolled out May 1 in the US/Europe and April in parts of Asia — lifting full-year price to ~1.3 pts. Q2 is the first quarter to test whether that price sticks and holds margins neutral.</w:t>
      </w:r>
    </w:p>
    <w:p>
      <w:r>
        <w:pict>
          <v:rect style="width:0;height:1.5pt" o:hralign="center" o:hrstd="t" o:hr="t"/>
        </w:pict>
      </w:r>
    </w:p>
    <w:bookmarkEnd w:id="12"/>
    <w:bookmarkStart w:id="13" w:name="X0e1ead290a3ae9affd9ef8ff706b6c0148a2d2d"/>
    <w:p>
      <w:pPr>
        <w:pStyle w:val="Heading2"/>
      </w:pPr>
      <w:r>
        <w:t xml:space="preserve">4. Segment Watch</w:t>
      </w:r>
    </w:p>
    <w:p>
      <w:pPr>
        <w:numPr>
          <w:ilvl w:val="0"/>
          <w:numId w:val="1002"/>
        </w:numPr>
      </w:pPr>
      <w:r>
        <w:rPr>
          <w:b/>
          <w:bCs/>
        </w:rPr>
        <w:t xml:space="preserve">Safety &amp; Industrial (SIBG) — the workhorse.</w:t>
      </w:r>
      <w:r>
        <w:t xml:space="preserve"> </w:t>
      </w:r>
      <w:r>
        <w:t xml:space="preserve">Grew organic &gt;3% in Q1 (best of the three); orders up mid-teens. Broad strength in industrial adhesives &amp; tapes, safety, electrical, abrasives, offset by weak roofing granules (soft housing). Should accelerate above 3.2% in Q2. Watch the</w:t>
      </w:r>
      <w:r>
        <w:t xml:space="preserve"> </w:t>
      </w:r>
      <w:r>
        <w:rPr>
          <w:b/>
          <w:bCs/>
        </w:rPr>
        <w:t xml:space="preserve">Madison Fire &amp; Rescue</w:t>
      </w:r>
      <w:r>
        <w:t xml:space="preserve"> </w:t>
      </w:r>
      <w:r>
        <w:t xml:space="preserve">JV (51% 3M / 49% Bain Capital, consolidated) combined with Scott Safety — an ~$800M, high-single-digit-growth safety business and the clearest signal of Brown's "higher-growth/higher-margin" portfolio reshaping.</w:t>
      </w:r>
    </w:p>
    <w:p>
      <w:pPr>
        <w:numPr>
          <w:ilvl w:val="0"/>
          <w:numId w:val="1002"/>
        </w:numPr>
      </w:pPr>
      <w:r>
        <w:rPr>
          <w:b/>
          <w:bCs/>
        </w:rPr>
        <w:t xml:space="preserve">Transportation &amp; Electronics (TEBG) — the swing factor.</w:t>
      </w:r>
      <w:r>
        <w:t xml:space="preserve"> </w:t>
      </w:r>
      <w:r>
        <w:t xml:space="preserve">Flat in Q1 but a classic "two halves" story: semiconductor and data center up double digits vs. consumer electronics (memory-chip/LCD weakness) and auto down. Orders up low-teens with backlog ~+30% points to a Q2 rebound to low-single-digit organic. The</w:t>
      </w:r>
      <w:r>
        <w:t xml:space="preserve"> </w:t>
      </w:r>
      <w:r>
        <w:rPr>
          <w:b/>
          <w:bCs/>
        </w:rPr>
        <w:t xml:space="preserve">Expanded Beam Optics (EBO)</w:t>
      </w:r>
      <w:r>
        <w:t xml:space="preserve"> </w:t>
      </w:r>
      <w:r>
        <w:t xml:space="preserve">data-center connector — hyperscaler validation, an order in hand, capacity doubling into year-end, &gt;$1B TAM — is the marquee AI growth narrative; expect more disclosure. Auto remains a drag (global builds ~-3%, China ~-10%).</w:t>
      </w:r>
    </w:p>
    <w:p>
      <w:pPr>
        <w:numPr>
          <w:ilvl w:val="0"/>
          <w:numId w:val="1002"/>
        </w:numPr>
      </w:pPr>
      <w:r>
        <w:rPr>
          <w:b/>
          <w:bCs/>
        </w:rPr>
        <w:t xml:space="preserve">Consumer (CBG) — the laggard.</w:t>
      </w:r>
      <w:r>
        <w:t xml:space="preserve"> </w:t>
      </w:r>
      <w:r>
        <w:t xml:space="preserve">Organic down ~1% in Q1 as the expected US discretionary recovery didn't show early. But management flagged</w:t>
      </w:r>
      <w:r>
        <w:t xml:space="preserve"> </w:t>
      </w:r>
      <w:r>
        <w:rPr>
          <w:b/>
          <w:bCs/>
        </w:rPr>
        <w:t xml:space="preserve">point-of-sale positive in 7 of the last 8 weeks</w:t>
      </w:r>
      <w:r>
        <w:t xml:space="preserve"> </w:t>
      </w:r>
      <w:r>
        <w:t xml:space="preserve">exiting Q1, so the guide is flat-to-positive in Q2. This is the least-forecastable segment; a return to positive organic would be an incremental positive.</w:t>
      </w:r>
    </w:p>
    <w:p>
      <w:r>
        <w:pict>
          <v:rect style="width:0;height:1.5pt" o:hralign="center" o:hrstd="t" o:hr="t"/>
        </w:pict>
      </w:r>
    </w:p>
    <w:bookmarkEnd w:id="13"/>
    <w:bookmarkStart w:id="14" w:name="X3f28b279d30600a1445c7ec22ec12b1e47f8d7c"/>
    <w:p>
      <w:pPr>
        <w:pStyle w:val="Heading2"/>
      </w:pPr>
      <w:r>
        <w:t xml:space="preserve">5. Margins, Cash &amp; Capital Returns</w:t>
      </w:r>
    </w:p>
    <w:p>
      <w:pPr>
        <w:pStyle w:val="Compact"/>
        <w:numPr>
          <w:ilvl w:val="0"/>
          <w:numId w:val="1003"/>
        </w:numPr>
      </w:pPr>
      <w:r>
        <w:rPr>
          <w:b/>
          <w:bCs/>
        </w:rPr>
        <w:t xml:space="preserve">Business-group margin expansion</w:t>
      </w:r>
      <w:r>
        <w:t xml:space="preserve"> </w:t>
      </w:r>
      <w:r>
        <w:t xml:space="preserve">target is ~100 bps for the year; Q1 delivered +60 bps at the BG level despite ~100 bps of tariff drag, with Corporate a ~30 bps headwind from the Solventum TSA wind-down. Management expects Q2 total-company adjusted margin **~24.5%**, then bigger H2 expansion as tariff comps lap.</w:t>
      </w:r>
    </w:p>
    <w:p>
      <w:pPr>
        <w:pStyle w:val="Compact"/>
        <w:numPr>
          <w:ilvl w:val="0"/>
          <w:numId w:val="1003"/>
        </w:numPr>
      </w:pPr>
      <w:r>
        <w:rPr>
          <w:b/>
          <w:bCs/>
        </w:rPr>
        <w:t xml:space="preserve">Free cash flow:</w:t>
      </w:r>
      <w:r>
        <w:t xml:space="preserve"> </w:t>
      </w:r>
      <w:r>
        <w:t xml:space="preserve">guided to &gt;$4.5B for 2026 at &gt;100% conversion (Q1 conversion was seasonally low at 47%). Working-capital progress (inventory down 3 days) is a plus.</w:t>
      </w:r>
    </w:p>
    <w:p>
      <w:pPr>
        <w:pStyle w:val="Compact"/>
        <w:numPr>
          <w:ilvl w:val="0"/>
          <w:numId w:val="1003"/>
        </w:numPr>
      </w:pPr>
      <w:r>
        <w:rPr>
          <w:b/>
          <w:bCs/>
        </w:rPr>
        <w:t xml:space="preserve">Capital allocation:</w:t>
      </w:r>
      <w:r>
        <w:t xml:space="preserve"> </w:t>
      </w:r>
      <m:oMath>
        <m:r>
          <m:t>2.4</m:t>
        </m:r>
        <m:r>
          <m:t>B</m:t>
        </m:r>
        <m:r>
          <m:t>r</m:t>
        </m:r>
        <m:r>
          <m:t>e</m:t>
        </m:r>
        <m:r>
          <m:t>t</m:t>
        </m:r>
        <m:r>
          <m:t>u</m:t>
        </m:r>
        <m:r>
          <m:t>r</m:t>
        </m:r>
        <m:r>
          <m:t>n</m:t>
        </m:r>
        <m:r>
          <m:t>e</m:t>
        </m:r>
        <m:r>
          <m:t>d</m:t>
        </m:r>
        <m:r>
          <m:t>i</m:t>
        </m:r>
        <m:r>
          <m:t>n</m:t>
        </m:r>
        <m:r>
          <m:t>Q</m:t>
        </m:r>
        <m:r>
          <m:t>1</m:t>
        </m:r>
        <m:r>
          <m:t>a</m:t>
        </m:r>
        <m:r>
          <m:t>l</m:t>
        </m:r>
        <m:r>
          <m:t>o</m:t>
        </m:r>
        <m:r>
          <m:t>n</m:t>
        </m:r>
        <m:r>
          <m:t>e</m:t>
        </m:r>
        <m:r>
          <m:rPr>
            <m:sty m:val="p"/>
          </m:rPr>
          <m:t>(</m:t>
        </m:r>
      </m:oMath>
      <w:r>
        <w:t xml:space="preserve">2.0B buyback + ~</w:t>
      </w:r>
      <m:oMath>
        <m:r>
          <m:t>0.4</m:t>
        </m:r>
        <m:r>
          <m:t>B</m:t>
        </m:r>
        <m:r>
          <m:t>d</m:t>
        </m:r>
        <m:r>
          <m:t>i</m:t>
        </m:r>
        <m:r>
          <m:t>v</m:t>
        </m:r>
        <m:r>
          <m:t>i</m:t>
        </m:r>
        <m:r>
          <m:t>d</m:t>
        </m:r>
        <m:r>
          <m:t>e</m:t>
        </m:r>
        <m:r>
          <m:t>n</m:t>
        </m:r>
        <m:r>
          <m:t>d</m:t>
        </m:r>
        <m:r>
          <m:rPr>
            <m:sty m:val="p"/>
          </m:rPr>
          <m:t>,</m:t>
        </m:r>
        <m:r>
          <m:rPr>
            <m:sty m:val="p"/>
          </m:rPr>
          <m:t>+</m:t>
        </m:r>
        <m:r>
          <m:t>7</m:t>
        </m:r>
      </m:oMath>
      <w:r>
        <w:t xml:space="preserve">7B of the ~$10B multi-year return commitment is done — the aggressive buyback is a real EPS tailwind and reduces share count into Q2.</w:t>
      </w:r>
    </w:p>
    <w:p>
      <w:r>
        <w:pict>
          <v:rect style="width:0;height:1.5pt" o:hralign="center" o:hrstd="t" o:hr="t"/>
        </w:pict>
      </w:r>
    </w:p>
    <w:bookmarkEnd w:id="14"/>
    <w:bookmarkStart w:id="15" w:name="Xca4227b10c1780fa5761c9c803efbc8c9fff9ec"/>
    <w:p>
      <w:pPr>
        <w:pStyle w:val="Heading2"/>
      </w:pPr>
      <w:r>
        <w:t xml:space="preserve">6. Overhang to Keep in View: PFAS Litigation</w:t>
      </w:r>
    </w:p>
    <w:p>
      <w:pPr>
        <w:pStyle w:val="FirstParagraph"/>
      </w:pPr>
      <w:r>
        <w:t xml:space="preserve">The legal tail is still the structural risk in the story. On</w:t>
      </w:r>
      <w:r>
        <w:t xml:space="preserve"> </w:t>
      </w:r>
      <w:r>
        <w:rPr>
          <w:b/>
          <w:bCs/>
        </w:rPr>
        <w:t xml:space="preserve">July 9, 2026</w:t>
      </w:r>
      <w:r>
        <w:t xml:space="preserve">, New York AG Letitia James sued 3M (and others) alleging it marketed PFAS "forever chemicals" in consumer products while knowing the risks for decades. This is on top of the existing PWS (public water) and Combat Arms settlements, whose cash payments have swung operating cash flow materially (e.g., Q2 2025 operating cash flow was</w:t>
      </w:r>
      <w:r>
        <w:t xml:space="preserve"> </w:t>
      </w:r>
      <w:r>
        <w:rPr>
          <w:i/>
          <w:iCs/>
        </w:rPr>
        <w:t xml:space="preserve">negative</w:t>
      </w:r>
      <w:r>
        <w:t xml:space="preserve"> </w:t>
      </w:r>
      <m:oMath>
        <m:r>
          <m:t>1.0</m:t>
        </m:r>
        <m:r>
          <m:t>B</m:t>
        </m:r>
        <m:r>
          <m:t>d</m:t>
        </m:r>
        <m:r>
          <m:t>u</m:t>
        </m:r>
        <m:r>
          <m:t>e</m:t>
        </m:r>
        <m:r>
          <m:t>t</m:t>
        </m:r>
        <m:r>
          <m:t>o</m:t>
        </m:r>
        <m:r>
          <m:t> </m:t>
        </m:r>
      </m:oMath>
      <w:r>
        <w:t xml:space="preserve">2.2B of settlement payments). These items sit in "special items" and don't hit adjusted EPS, but new suits keep headline/settlement-cadence risk alive and are worth monitoring in the 10-Q disclosure. GAAP EPS also remains noisy from the mark-to-market on 3M's retained</w:t>
      </w:r>
      <w:r>
        <w:t xml:space="preserve"> </w:t>
      </w:r>
      <w:r>
        <w:rPr>
          <w:b/>
          <w:bCs/>
        </w:rPr>
        <w:t xml:space="preserve">Solventum</w:t>
      </w:r>
      <w:r>
        <w:t xml:space="preserve"> </w:t>
      </w:r>
      <w:r>
        <w:t xml:space="preserve">stake.</w:t>
      </w:r>
    </w:p>
    <w:p>
      <w:r>
        <w:pict>
          <v:rect style="width:0;height:1.5pt" o:hralign="center" o:hrstd="t" o:hr="t"/>
        </w:pict>
      </w:r>
    </w:p>
    <w:bookmarkEnd w:id="15"/>
    <w:bookmarkStart w:id="16" w:name="X975bdf1fc7fe3e2ae767322ae4889443605505c"/>
    <w:p>
      <w:pPr>
        <w:pStyle w:val="Heading2"/>
      </w:pPr>
      <w:r>
        <w:t xml:space="preserve">7. Scorecard — What Would Make It a Good vs. Bad Print</w:t>
      </w:r>
    </w:p>
    <w:p>
      <w:pPr>
        <w:pStyle w:val="FirstParagraph"/>
      </w:pPr>
      <w:r>
        <w:rPr>
          <w:b/>
          <w:bCs/>
        </w:rPr>
        <w:t xml:space="preserve">Bullish tells:</w:t>
      </w:r>
    </w:p>
    <w:p>
      <w:pPr>
        <w:pStyle w:val="Compact"/>
        <w:numPr>
          <w:ilvl w:val="0"/>
          <w:numId w:val="1004"/>
        </w:numPr>
      </w:pPr>
      <w:r>
        <w:t xml:space="preserve">Adjusted organic</w:t>
      </w:r>
      <w:r>
        <w:t xml:space="preserve"> </w:t>
      </w:r>
      <w:r>
        <w:rPr>
          <w:b/>
          <w:bCs/>
        </w:rPr>
        <w:t xml:space="preserve">≥3%</w:t>
      </w:r>
      <w:r>
        <w:t xml:space="preserve"> </w:t>
      </w:r>
      <w:r>
        <w:t xml:space="preserve">with all three BGs positive, and orders/backlog momentum sustained into July</w:t>
      </w:r>
    </w:p>
    <w:p>
      <w:pPr>
        <w:pStyle w:val="Compact"/>
        <w:numPr>
          <w:ilvl w:val="0"/>
          <w:numId w:val="1004"/>
        </w:numPr>
      </w:pPr>
      <w:r>
        <w:rPr>
          <w:b/>
          <w:bCs/>
        </w:rPr>
        <w:t xml:space="preserve">Full-year EPS guide raised</w:t>
      </w:r>
      <w:r>
        <w:t xml:space="preserve"> </w:t>
      </w:r>
      <w:r>
        <w:t xml:space="preserve">(or contingency released) above</w:t>
      </w:r>
      <w:r>
        <w:t xml:space="preserve"> </w:t>
      </w:r>
      <m:oMath>
        <m:r>
          <m:t>8.50</m:t>
        </m:r>
        <m:r>
          <m:rPr>
            <m:sty m:val="p"/>
          </m:rPr>
          <m:t>–</m:t>
        </m:r>
      </m:oMath>
      <w:r>
        <w:t xml:space="preserve">8.70</w:t>
      </w:r>
    </w:p>
    <w:p>
      <w:pPr>
        <w:pStyle w:val="Compact"/>
        <w:numPr>
          <w:ilvl w:val="0"/>
          <w:numId w:val="1004"/>
        </w:numPr>
      </w:pPr>
      <w:r>
        <w:t xml:space="preserve">Consumer back to positive organic; EBO/data-center order progress quantified</w:t>
      </w:r>
    </w:p>
    <w:p>
      <w:pPr>
        <w:pStyle w:val="Compact"/>
        <w:numPr>
          <w:ilvl w:val="0"/>
          <w:numId w:val="1004"/>
        </w:numPr>
      </w:pPr>
      <w:r>
        <w:t xml:space="preserve">Price/cost confirmed neutral-to-positive despite oil</w:t>
      </w:r>
    </w:p>
    <w:p>
      <w:pPr>
        <w:pStyle w:val="FirstParagraph"/>
      </w:pPr>
      <w:r>
        <w:rPr>
          <w:b/>
          <w:bCs/>
        </w:rPr>
        <w:t xml:space="preserve">Bearish tells:</w:t>
      </w:r>
    </w:p>
    <w:p>
      <w:pPr>
        <w:pStyle w:val="Compact"/>
        <w:numPr>
          <w:ilvl w:val="0"/>
          <w:numId w:val="1005"/>
        </w:numPr>
      </w:pPr>
      <w:r>
        <w:t xml:space="preserve">Organic misses 3% / order strength reveals a meaningful pre-buy payback</w:t>
      </w:r>
    </w:p>
    <w:p>
      <w:pPr>
        <w:pStyle w:val="Compact"/>
        <w:numPr>
          <w:ilvl w:val="0"/>
          <w:numId w:val="1005"/>
        </w:numPr>
      </w:pPr>
      <w:r>
        <w:t xml:space="preserve">Guidance merely reiterated despite a Q2 beat (implies H2 caution)</w:t>
      </w:r>
    </w:p>
    <w:p>
      <w:pPr>
        <w:pStyle w:val="Compact"/>
        <w:numPr>
          <w:ilvl w:val="0"/>
          <w:numId w:val="1005"/>
        </w:numPr>
      </w:pPr>
      <w:r>
        <w:t xml:space="preserve">Margin flat-to-down as oil price actions lag cost</w:t>
      </w:r>
    </w:p>
    <w:p>
      <w:pPr>
        <w:pStyle w:val="Compact"/>
        <w:numPr>
          <w:ilvl w:val="0"/>
          <w:numId w:val="1005"/>
        </w:numPr>
      </w:pPr>
      <w:r>
        <w:t xml:space="preserve">Renewed cash drag or negative headlines from PFAS/NY AG matters</w:t>
      </w:r>
    </w:p>
    <w:p>
      <w:pPr>
        <w:pStyle w:val="FirstParagraph"/>
      </w:pPr>
      <w:r>
        <w:rPr>
          <w:b/>
          <w:bCs/>
        </w:rPr>
        <w:t xml:space="preserve">Bottom line:</w:t>
      </w:r>
      <w:r>
        <w:t xml:space="preserve"> </w:t>
      </w:r>
      <w:r>
        <w:t xml:space="preserve">With the stock having recovered ~13% off its March lows to roughly flat on the year, a lot of the "self-help is working" thesis is already priced. The bar is now:</w:t>
      </w:r>
      <w:r>
        <w:t xml:space="preserve"> </w:t>
      </w:r>
      <w:r>
        <w:rPr>
          <w:i/>
          <w:iCs/>
        </w:rPr>
        <w:t xml:space="preserve">deliver the promised Q2 acceleration to &gt;3% organic on real demand, and give investors enough confidence in H2 to raise the number.</w:t>
      </w:r>
      <w:r>
        <w:t xml:space="preserve"> </w:t>
      </w:r>
      <w:r>
        <w:t xml:space="preserve">Anything that undercuts the acceleration narrative — especially a pre-buy hangover — is the primary risk into the print.</w:t>
      </w:r>
    </w:p>
    <w:p>
      <w:r>
        <w:pict>
          <v:rect style="width:0;height:1.5pt" o:hralign="center" o:hrstd="t" o:hr="t"/>
        </w:pict>
      </w:r>
    </w:p>
    <w:p>
      <w:pPr>
        <w:pStyle w:val="FirstParagraph"/>
      </w:pPr>
      <w:r>
        <w:rPr>
          <w:i/>
          <w:iCs/>
        </w:rPr>
        <w:t xml:space="preserve">Sources: 3M Q1 2026 earnings release &amp; call transcript (Apr 21, 2026); Q2 2025 earnings release (Jul 18, 2025); pre-earnings news/sentiment digests and PFAS litigation news (Jul 2026); daily price history through Jul 20, 2026. Figures are company-reported adjusted (non-GAAP) unless noted; consensus figures are Street estimates as summarized in the news digest.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2026-07-21T00:46:24Z</dcterms:created>
  <dcterms:modified xsi:type="dcterms:W3CDTF">2026-07-21T00:46:24Z</dcterms:modified>
</cp:coreProperties>
</file>

<file path=docProps/custom.xml><?xml version="1.0" encoding="utf-8"?>
<Properties xmlns="http://schemas.openxmlformats.org/officeDocument/2006/custom-properties" xmlns:vt="http://schemas.openxmlformats.org/officeDocument/2006/docPropsVTypes"/>
</file>