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mmm-earnings-predictions--2026-07-21"/>
    <w:p>
      <w:pPr>
        <w:pStyle w:val="Heading1"/>
      </w:pPr>
      <w:r>
        <w:t xml:space="preserve">MMM Earnings Predictions — 2026-07-21</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Ticker</w:t>
            </w:r>
          </w:p>
        </w:tc>
        <w:tc>
          <w:tcPr/>
          <w:p>
            <w:pPr>
              <w:pStyle w:val="Compact"/>
            </w:pPr>
            <w:r>
              <w:t xml:space="preserve">Report or Guide</w:t>
            </w:r>
          </w:p>
        </w:tc>
        <w:tc>
          <w:tcPr/>
          <w:p>
            <w:pPr>
              <w:pStyle w:val="Compact"/>
            </w:pPr>
            <w:r>
              <w:t xml:space="preserve">KPI</w:t>
            </w:r>
          </w:p>
        </w:tc>
        <w:tc>
          <w:tcPr/>
          <w:p>
            <w:pPr>
              <w:pStyle w:val="Compact"/>
            </w:pPr>
            <w:r>
              <w:t xml:space="preserve">Prediction</w:t>
            </w:r>
          </w:p>
        </w:tc>
        <w:tc>
          <w:tcPr/>
          <w:p>
            <w:pPr>
              <w:pStyle w:val="Compact"/>
            </w:pPr>
            <w:r>
              <w:t xml:space="preserve">Answer</w:t>
            </w:r>
          </w:p>
        </w:tc>
        <w:tc>
          <w:tcPr/>
          <w:p>
            <w:pPr>
              <w:pStyle w:val="Compact"/>
            </w:pPr>
            <w:r>
              <w:t xml:space="preserve">Confidence</w:t>
            </w:r>
          </w:p>
        </w:tc>
      </w:tr>
      <w:tr>
        <w:tc>
          <w:tcPr/>
          <w:p>
            <w:pPr>
              <w:pStyle w:val="Compact"/>
            </w:pPr>
            <w:r>
              <w:t xml:space="preserve">MMM</w:t>
            </w:r>
          </w:p>
        </w:tc>
        <w:tc>
          <w:tcPr/>
          <w:p>
            <w:pPr>
              <w:pStyle w:val="Compact"/>
            </w:pPr>
            <w:r>
              <w:t xml:space="preserve">Report</w:t>
            </w:r>
          </w:p>
        </w:tc>
        <w:tc>
          <w:tcPr/>
          <w:p>
            <w:pPr>
              <w:pStyle w:val="Compact"/>
            </w:pPr>
            <w:r>
              <w:t xml:space="preserve">Q2 Adjusted Organic Sales Growth</w:t>
            </w:r>
          </w:p>
        </w:tc>
        <w:tc>
          <w:tcPr/>
          <w:p>
            <w:pPr>
              <w:pStyle w:val="Compact"/>
            </w:pPr>
            <w:r>
              <w:t xml:space="preserve">BEAT</w:t>
            </w:r>
          </w:p>
        </w:tc>
        <w:tc>
          <w:tcPr/>
          <w:p>
            <w:pPr>
              <w:pStyle w:val="Compact"/>
            </w:pPr>
            <w:r>
              <w:t xml:space="preserve">pred ~3.4% vs. cons 3.15%</w:t>
            </w:r>
          </w:p>
        </w:tc>
        <w:tc>
          <w:tcPr/>
          <w:p>
            <w:pPr>
              <w:pStyle w:val="Compact"/>
            </w:pPr>
            <w:r>
              <w:t xml:space="preserve">MEDIUM</w:t>
            </w:r>
          </w:p>
        </w:tc>
      </w:tr>
      <w:tr>
        <w:tc>
          <w:tcPr/>
          <w:p>
            <w:pPr>
              <w:pStyle w:val="Compact"/>
            </w:pPr>
            <w:r>
              <w:t xml:space="preserve">MMM</w:t>
            </w:r>
          </w:p>
        </w:tc>
        <w:tc>
          <w:tcPr/>
          <w:p>
            <w:pPr>
              <w:pStyle w:val="Compact"/>
            </w:pPr>
            <w:r>
              <w:t xml:space="preserve">Report</w:t>
            </w:r>
          </w:p>
        </w:tc>
        <w:tc>
          <w:tcPr/>
          <w:p>
            <w:pPr>
              <w:pStyle w:val="Compact"/>
            </w:pPr>
            <w:r>
              <w:t xml:space="preserve">Q2 Adjusted EPS</w:t>
            </w:r>
          </w:p>
        </w:tc>
        <w:tc>
          <w:tcPr/>
          <w:p>
            <w:pPr>
              <w:pStyle w:val="Compact"/>
            </w:pPr>
            <w:r>
              <w:t xml:space="preserve">BEAT</w:t>
            </w:r>
          </w:p>
        </w:tc>
        <w:tc>
          <w:tcPr/>
          <w:p>
            <w:pPr>
              <w:pStyle w:val="Compact"/>
            </w:pPr>
            <w:r>
              <w:t xml:space="preserve">pred ~$2.29 vs. cons $2.24</w:t>
            </w:r>
          </w:p>
        </w:tc>
        <w:tc>
          <w:tcPr/>
          <w:p>
            <w:pPr>
              <w:pStyle w:val="Compact"/>
            </w:pPr>
            <w:r>
              <w:t xml:space="preserve">MEDIUM</w:t>
            </w:r>
          </w:p>
        </w:tc>
      </w:tr>
      <w:tr>
        <w:tc>
          <w:tcPr/>
          <w:p>
            <w:pPr>
              <w:pStyle w:val="Compact"/>
            </w:pPr>
            <w:r>
              <w:t xml:space="preserve">MMM</w:t>
            </w:r>
          </w:p>
        </w:tc>
        <w:tc>
          <w:tcPr/>
          <w:p>
            <w:pPr>
              <w:pStyle w:val="Compact"/>
            </w:pPr>
            <w:r>
              <w:t xml:space="preserve">Report</w:t>
            </w:r>
          </w:p>
        </w:tc>
        <w:tc>
          <w:tcPr/>
          <w:p>
            <w:pPr>
              <w:pStyle w:val="Compact"/>
            </w:pPr>
            <w:r>
              <w:t xml:space="preserve">Q2 Adjusted Operating Margin</w:t>
            </w:r>
          </w:p>
        </w:tc>
        <w:tc>
          <w:tcPr/>
          <w:p>
            <w:pPr>
              <w:pStyle w:val="Compact"/>
            </w:pPr>
            <w:r>
              <w:t xml:space="preserve">IN-LINE</w:t>
            </w:r>
          </w:p>
        </w:tc>
        <w:tc>
          <w:tcPr/>
          <w:p>
            <w:pPr>
              <w:pStyle w:val="Compact"/>
            </w:pPr>
            <w:r>
              <w:t xml:space="preserve">pred ~24.5% vs. cons 24.65%</w:t>
            </w:r>
          </w:p>
        </w:tc>
        <w:tc>
          <w:tcPr/>
          <w:p>
            <w:pPr>
              <w:pStyle w:val="Compact"/>
            </w:pPr>
            <w:r>
              <w:t xml:space="preserve">MEDIUM</w:t>
            </w:r>
          </w:p>
        </w:tc>
      </w:tr>
      <w:tr>
        <w:tc>
          <w:tcPr/>
          <w:p>
            <w:pPr>
              <w:pStyle w:val="Compact"/>
            </w:pPr>
            <w:r>
              <w:t xml:space="preserve">MMM</w:t>
            </w:r>
          </w:p>
        </w:tc>
        <w:tc>
          <w:tcPr/>
          <w:p>
            <w:pPr>
              <w:pStyle w:val="Compact"/>
            </w:pPr>
            <w:r>
              <w:t xml:space="preserve">Guide</w:t>
            </w:r>
          </w:p>
        </w:tc>
        <w:tc>
          <w:tcPr/>
          <w:p>
            <w:pPr>
              <w:pStyle w:val="Compact"/>
            </w:pPr>
            <w:r>
              <w:t xml:space="preserve">FY2026 Adjusted EPS Guidance</w:t>
            </w:r>
          </w:p>
        </w:tc>
        <w:tc>
          <w:tcPr/>
          <w:p>
            <w:pPr>
              <w:pStyle w:val="Compact"/>
            </w:pPr>
            <w:r>
              <w:t xml:space="preserve">BETTER</w:t>
            </w:r>
          </w:p>
        </w:tc>
        <w:tc>
          <w:tcPr/>
          <w:p>
            <w:pPr>
              <w:pStyle w:val="Compact"/>
            </w:pPr>
            <w:r>
              <w:t xml:space="preserve">guide ~</w:t>
            </w:r>
            <m:oMath>
              <m:r>
                <m:t>8.60</m:t>
              </m:r>
              <m:r>
                <m:rPr>
                  <m:sty m:val="p"/>
                </m:rPr>
                <m:t>−</m:t>
              </m:r>
            </m:oMath>
            <w:r>
              <w:t xml:space="preserve">8.90 (mid ~</w:t>
            </w:r>
            <m:oMath>
              <m:r>
                <m:t>8.75</m:t>
              </m:r>
              <m:r>
                <m:rPr>
                  <m:sty m:val="p"/>
                </m:rPr>
                <m:t>)</m:t>
              </m:r>
              <m:r>
                <m:t>v</m:t>
              </m:r>
              <m:r>
                <m:t>s</m:t>
              </m:r>
              <m:r>
                <m:rPr>
                  <m:sty m:val="p"/>
                </m:rPr>
                <m:t>.</m:t>
              </m:r>
              <m:r>
                <m:t>c</m:t>
              </m:r>
              <m:r>
                <m:t>o</m:t>
              </m:r>
              <m:r>
                <m:t>n</m:t>
              </m:r>
              <m:r>
                <m:t>s</m:t>
              </m:r>
              <m:r>
                <m:t> </m:t>
              </m:r>
            </m:oMath>
            <w:r>
              <w:t xml:space="preserve">8.60 (FY2026)</w:t>
            </w:r>
          </w:p>
        </w:tc>
        <w:tc>
          <w:tcPr/>
          <w:p>
            <w:pPr>
              <w:pStyle w:val="Compact"/>
            </w:pPr>
            <w:r>
              <w:t xml:space="preserve">MEDIUM</w:t>
            </w:r>
          </w:p>
        </w:tc>
      </w:tr>
      <w:tr>
        <w:tc>
          <w:tcPr/>
          <w:p>
            <w:pPr>
              <w:pStyle w:val="Compact"/>
            </w:pPr>
            <w:r>
              <w:t xml:space="preserve">MMM</w:t>
            </w:r>
          </w:p>
        </w:tc>
        <w:tc>
          <w:tcPr/>
          <w:p>
            <w:pPr>
              <w:pStyle w:val="Compact"/>
            </w:pPr>
            <w:r>
              <w:t xml:space="preserve">Guide</w:t>
            </w:r>
          </w:p>
        </w:tc>
        <w:tc>
          <w:tcPr/>
          <w:p>
            <w:pPr>
              <w:pStyle w:val="Compact"/>
            </w:pPr>
            <w:r>
              <w:t xml:space="preserve">FY2026 Organic Sales Growth Guidance</w:t>
            </w:r>
          </w:p>
        </w:tc>
        <w:tc>
          <w:tcPr/>
          <w:p>
            <w:pPr>
              <w:pStyle w:val="Compact"/>
            </w:pPr>
            <w:r>
              <w:t xml:space="preserve">BETTER</w:t>
            </w:r>
          </w:p>
        </w:tc>
        <w:tc>
          <w:tcPr/>
          <w:p>
            <w:pPr>
              <w:pStyle w:val="Compact"/>
            </w:pPr>
            <w:r>
              <w:t xml:space="preserve">guide ~3.0-3.5% (mid ~3.2%) vs. cons ~3.0% (FY2026)</w:t>
            </w:r>
          </w:p>
        </w:tc>
        <w:tc>
          <w:tcPr/>
          <w:p>
            <w:pPr>
              <w:pStyle w:val="Compact"/>
            </w:pPr>
            <w:r>
              <w:t xml:space="preserve">LOW</w:t>
            </w:r>
          </w:p>
        </w:tc>
      </w:tr>
      <w:tr>
        <w:tc>
          <w:tcPr/>
          <w:p>
            <w:pPr>
              <w:pStyle w:val="Compact"/>
            </w:pPr>
            <w:r>
              <w:t xml:space="preserve">MMM</w:t>
            </w:r>
          </w:p>
        </w:tc>
        <w:tc>
          <w:tcPr/>
          <w:p>
            <w:pPr>
              <w:pStyle w:val="Compact"/>
            </w:pPr>
            <w:r>
              <w:t xml:space="preserve">Guide</w:t>
            </w:r>
          </w:p>
        </w:tc>
        <w:tc>
          <w:tcPr/>
          <w:p>
            <w:pPr>
              <w:pStyle w:val="Compact"/>
            </w:pPr>
            <w:r>
              <w:t xml:space="preserve">H2 2026 Organic Growth Cadence Commentary</w:t>
            </w:r>
          </w:p>
        </w:tc>
        <w:tc>
          <w:tcPr/>
          <w:p>
            <w:pPr>
              <w:pStyle w:val="Compact"/>
            </w:pPr>
            <w:r>
              <w:t xml:space="preserve">BETTER</w:t>
            </w:r>
          </w:p>
        </w:tc>
        <w:tc>
          <w:tcPr/>
          <w:p>
            <w:pPr>
              <w:pStyle w:val="Compact"/>
            </w:pPr>
            <w:r>
              <w:t xml:space="preserve">guide ~3.5% vs. cons ~3.3% (H2 2026)</w:t>
            </w:r>
          </w:p>
        </w:tc>
        <w:tc>
          <w:tcPr/>
          <w:p>
            <w:pPr>
              <w:pStyle w:val="Compact"/>
            </w:pPr>
            <w:r>
              <w:t xml:space="preserve">LOW</w:t>
            </w:r>
          </w:p>
        </w:tc>
      </w:tr>
      <w:tr>
        <w:tc>
          <w:tcPr/>
          <w:p>
            <w:pPr>
              <w:pStyle w:val="Compact"/>
            </w:pPr>
            <w:r>
              <w:t xml:space="preserve">MMM</w:t>
            </w:r>
          </w:p>
        </w:tc>
        <w:tc>
          <w:tcPr/>
          <w:p>
            <w:pPr>
              <w:pStyle w:val="Compact"/>
            </w:pPr>
            <w:r>
              <w:t xml:space="preserve">Guide</w:t>
            </w:r>
          </w:p>
        </w:tc>
        <w:tc>
          <w:tcPr/>
          <w:p>
            <w:pPr>
              <w:pStyle w:val="Compact"/>
            </w:pPr>
            <w:r>
              <w:t xml:space="preserve">EPS Contingency Removal (</w:t>
            </w:r>
            <m:oMath>
              <m:r>
                <m:t>0.05</m:t>
              </m:r>
              <m:r>
                <m:rPr>
                  <m:sty m:val="p"/>
                </m:rPr>
                <m:t>−</m:t>
              </m:r>
            </m:oMath>
            <w:r>
              <w:t xml:space="preserve">0.15)</w:t>
            </w:r>
          </w:p>
        </w:tc>
        <w:tc>
          <w:tcPr/>
          <w:p>
            <w:pPr>
              <w:pStyle w:val="Compact"/>
            </w:pPr>
            <w:r>
              <w:t xml:space="preserve">BETTER</w:t>
            </w:r>
          </w:p>
        </w:tc>
        <w:tc>
          <w:tcPr/>
          <w:p>
            <w:pPr>
              <w:pStyle w:val="Compact"/>
            </w:pPr>
            <w:r>
              <w:t xml:space="preserve">guide ~</w:t>
            </w:r>
            <m:oMath>
              <m:r>
                <m:t>0.00</m:t>
              </m:r>
              <m:r>
                <m:t>r</m:t>
              </m:r>
              <m:r>
                <m:t>e</m:t>
              </m:r>
              <m:r>
                <m:t>s</m:t>
              </m:r>
              <m:r>
                <m:t>i</m:t>
              </m:r>
              <m:r>
                <m:t>d</m:t>
              </m:r>
              <m:r>
                <m:t>u</m:t>
              </m:r>
              <m:r>
                <m:t>a</m:t>
              </m:r>
              <m:r>
                <m:t>l</m:t>
              </m:r>
              <m:r>
                <m:t>c</m:t>
              </m:r>
              <m:r>
                <m:t>o</m:t>
              </m:r>
              <m:r>
                <m:t>n</m:t>
              </m:r>
              <m:r>
                <m:t>t</m:t>
              </m:r>
              <m:r>
                <m:t>i</m:t>
              </m:r>
              <m:r>
                <m:t>n</m:t>
              </m:r>
              <m:r>
                <m:t>g</m:t>
              </m:r>
              <m:r>
                <m:t>e</m:t>
              </m:r>
              <m:r>
                <m:t>n</m:t>
              </m:r>
              <m:r>
                <m:t>c</m:t>
              </m:r>
              <m:r>
                <m:t>y</m:t>
              </m:r>
              <m:r>
                <m:t>v</m:t>
              </m:r>
              <m:r>
                <m:t>s</m:t>
              </m:r>
              <m:r>
                <m:rPr>
                  <m:sty m:val="p"/>
                </m:rPr>
                <m:t>.</m:t>
              </m:r>
              <m:r>
                <m:t>c</m:t>
              </m:r>
              <m:r>
                <m:t>o</m:t>
              </m:r>
              <m:r>
                <m:t>n</m:t>
              </m:r>
              <m:r>
                <m:t>s</m:t>
              </m:r>
              <m:r>
                <m:t> </m:t>
              </m:r>
            </m:oMath>
            <w:r>
              <w:t xml:space="preserve">0.10 embedded (FY2026)</w:t>
            </w:r>
          </w:p>
        </w:tc>
        <w:tc>
          <w:tcPr/>
          <w:p>
            <w:pPr>
              <w:pStyle w:val="Compact"/>
            </w:pPr>
            <w:r>
              <w:t xml:space="preserve">MEDIUM</w:t>
            </w:r>
          </w:p>
        </w:tc>
      </w:tr>
      <w:tr>
        <w:tc>
          <w:tcPr/>
          <w:p>
            <w:pPr>
              <w:pStyle w:val="Compact"/>
            </w:pPr>
            <w:r>
              <w:t xml:space="preserve">MMM</w:t>
            </w:r>
          </w:p>
        </w:tc>
        <w:tc>
          <w:tcPr/>
          <w:p>
            <w:pPr>
              <w:pStyle w:val="Compact"/>
            </w:pPr>
            <w:r>
              <w:t xml:space="preserve">Return</w:t>
            </w:r>
          </w:p>
        </w:tc>
        <w:tc>
          <w:tcPr/>
          <w:p>
            <w:pPr>
              <w:pStyle w:val="Compact"/>
            </w:pPr>
            <w:r>
              <w:t xml:space="preserve">Day-1 residual (stock − beta × S&amp;P 500)</w:t>
            </w:r>
          </w:p>
        </w:tc>
        <w:tc>
          <w:tcPr/>
          <w:p>
            <w:pPr>
              <w:pStyle w:val="Compact"/>
            </w:pPr>
            <w:r>
              <w:t xml:space="preserve">+2.0%</w:t>
            </w:r>
          </w:p>
        </w:tc>
        <w:tc>
          <w:tcPr/>
          <w:p>
            <w:pPr>
              <w:pStyle w:val="Compact"/>
            </w:pPr>
            <w:r>
              <w:t xml:space="preserve">—</w:t>
            </w:r>
          </w:p>
        </w:tc>
        <w:tc>
          <w:tcPr/>
          <w:p>
            <w:pPr>
              <w:pStyle w:val="Compact"/>
            </w:pPr>
            <w:r>
              <w:t xml:space="preserve">MEDIUM</w:t>
            </w:r>
          </w:p>
        </w:tc>
      </w:tr>
      <w:tr>
        <w:tc>
          <w:tcPr/>
          <w:p>
            <w:pPr>
              <w:pStyle w:val="Compact"/>
            </w:pPr>
            <w:r>
              <w:t xml:space="preserve">MMM</w:t>
            </w:r>
          </w:p>
        </w:tc>
        <w:tc>
          <w:tcPr/>
          <w:p>
            <w:pPr>
              <w:pStyle w:val="Compact"/>
            </w:pPr>
            <w:r>
              <w:t xml:space="preserve">Return</w:t>
            </w:r>
          </w:p>
        </w:tc>
        <w:tc>
          <w:tcPr/>
          <w:p>
            <w:pPr>
              <w:pStyle w:val="Compact"/>
            </w:pPr>
            <w:r>
              <w:t xml:space="preserve">5-day cumulative residual</w:t>
            </w:r>
          </w:p>
        </w:tc>
        <w:tc>
          <w:tcPr/>
          <w:p>
            <w:pPr>
              <w:pStyle w:val="Compact"/>
            </w:pPr>
            <w:r>
              <w:t xml:space="preserve">+1.0% (FADE)</w:t>
            </w:r>
          </w:p>
        </w:tc>
        <w:tc>
          <w:tcPr/>
          <w:p>
            <w:pPr>
              <w:pStyle w:val="Compact"/>
            </w:pPr>
            <w:r>
              <w:t xml:space="preserve">Beat-and-raise on growth/EPS plus a raised or narrowed EPS contingency should trigger an initial pop, but the stock has already rallied hard off the May low pricing in much of the 'acceleration' narrative, margin came in only in-line (with oil/tariff cost offset uncertainty persisting into H2) and the pre-buy-vs-organic-demand debate around Q1's order surge won't be fully resolved by one print. Sell-side will likely trim out-period margin/EPS assumptions modestly even after nudging FY26 EPS higher, capping follow-through and causing partial fade of the day-1 pop over the next week.</w:t>
            </w:r>
          </w:p>
        </w:tc>
        <w:tc>
          <w:tcPr/>
          <w:p>
            <w:pPr>
              <w:pStyle w:val="Compact"/>
            </w:pPr>
            <w:r>
              <w:t xml:space="preserve">LOW</w:t>
            </w:r>
          </w:p>
        </w:tc>
      </w:tr>
    </w:tbl>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2026-07-21T01:45:19Z</dcterms:created>
  <dcterms:modified xsi:type="dcterms:W3CDTF">2026-07-21T01:45:19Z</dcterms:modified>
</cp:coreProperties>
</file>

<file path=docProps/custom.xml><?xml version="1.0" encoding="utf-8"?>
<Properties xmlns="http://schemas.openxmlformats.org/officeDocument/2006/custom-properties" xmlns:vt="http://schemas.openxmlformats.org/officeDocument/2006/docPropsVTypes"/>
</file>