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get the Q1 2026 earnings call transcript for management commentary, plus recent news and stock price data.# 3M Company (MMM) — Q2 2026 Earnings Preview</w:t>
      </w:r>
      <w:r>
        <w:t xml:space="preserve"> </w:t>
      </w:r>
      <w:r>
        <w:rPr>
          <w:b/>
          <w:bCs/>
        </w:rPr>
        <w:t xml:space="preserve">Report date:</w:t>
      </w:r>
      <w:r>
        <w:t xml:space="preserve"> </w:t>
      </w:r>
      <w:r>
        <w:t xml:space="preserve">Tuesday, July 21, 2026, before market open |</w:t>
      </w:r>
      <w:r>
        <w:t xml:space="preserve"> </w:t>
      </w:r>
      <w:r>
        <w:rPr>
          <w:b/>
          <w:bCs/>
        </w:rPr>
        <w:t xml:space="preserve">Call:</w:t>
      </w:r>
      <w:r>
        <w:t xml:space="preserve"> </w:t>
      </w:r>
      <w:r>
        <w:t xml:space="preserve">9:00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MMM shares enter earnings around</w:t>
      </w:r>
      <w:r>
        <w:t xml:space="preserve"> </w:t>
      </w:r>
      <w:r>
        <w:rPr>
          <w:b/>
          <w:bCs/>
        </w:rPr>
        <w:t xml:space="preserve">$159</w:t>
      </w:r>
      <w:r>
        <w:t xml:space="preserve">, roughly flat year-to-date but well off the February high near $175 and up meaningfully from the early-May low near $141. The stock has been recovering through June/July as investor sentiment around CEO Bill Brown's operational turnaround has improved.</w:t>
      </w:r>
    </w:p>
    <w:p>
      <w:pPr>
        <w:pStyle w:val="BodyText"/>
      </w:pPr>
      <w:r>
        <w:t xml:space="preserve">Sentiment is generally positive, with investors hopeful for improved growth and margins due to management efforts to overhaul the business and portfolio mix, despite a mixed macro landscape. Street consensus going into the print: organic growth of approximately 3.15%, operating margins of approximately 24.65%, and EPS of $2.24 for Q2.</w:t>
      </w:r>
    </w:p>
    <w:p>
      <w:r>
        <w:pict>
          <v:rect style="width:0;height:1.5pt" o:hralign="center" o:hrstd="t" o:hr="t"/>
        </w:pict>
      </w:r>
    </w:p>
    <w:bookmarkEnd w:id="9"/>
    <w:bookmarkStart w:id="10" w:name="what-happened-last-quarter-q1-2026-recap"/>
    <w:p>
      <w:pPr>
        <w:pStyle w:val="Heading2"/>
      </w:pPr>
      <w:r>
        <w:t xml:space="preserve">What Happened Last Quarter (Q1 2026 Recap)</w:t>
      </w:r>
    </w:p>
    <w:p>
      <w:pPr>
        <w:pStyle w:val="FirstParagraph"/>
      </w:pPr>
      <w:r>
        <w:t xml:space="preserve">3M's Q1 came in ahead of expectations on orders, margins, earnings and cash, setting up the key debate for Q2:</w:t>
      </w:r>
    </w:p>
    <w:p>
      <w:pPr>
        <w:pStyle w:val="Compact"/>
        <w:numPr>
          <w:ilvl w:val="0"/>
          <w:numId w:val="1001"/>
        </w:numPr>
      </w:pPr>
      <w:r>
        <w:rPr>
          <w:b/>
          <w:bCs/>
        </w:rPr>
        <w:t xml:space="preserve">Adjusted EPS of $2.14</w:t>
      </w:r>
      <w:r>
        <w:t xml:space="preserve">, up 14% YoY, on</w:t>
      </w:r>
      <w:r>
        <w:t xml:space="preserve"> </w:t>
      </w:r>
      <w:r>
        <w:rPr>
          <w:b/>
          <w:bCs/>
        </w:rPr>
        <w:t xml:space="preserve">adjusted organic sales growth of just 1.2%</w:t>
      </w:r>
      <w:r>
        <w:t xml:space="preserve"> </w:t>
      </w:r>
      <w:r>
        <w:t xml:space="preserve">— a "light start" to the year that management attributed to macro softness in ~40% of the portfolio (autos, consumer electronics, U.S. consumer discretionary).</w:t>
      </w:r>
    </w:p>
    <w:p>
      <w:pPr>
        <w:pStyle w:val="Compact"/>
        <w:numPr>
          <w:ilvl w:val="0"/>
          <w:numId w:val="1001"/>
        </w:numPr>
      </w:pPr>
      <w:r>
        <w:rPr>
          <w:b/>
          <w:bCs/>
        </w:rPr>
        <w:t xml:space="preserve">Adjusted operating margin of 23.8%</w:t>
      </w:r>
      <w:r>
        <w:t xml:space="preserve">, up 30 bps YoY, as productivity and volume more than offset roughly $145 million of tariff/stranded-cost/investment headwinds.</w:t>
      </w:r>
    </w:p>
    <w:p>
      <w:pPr>
        <w:pStyle w:val="Compact"/>
        <w:numPr>
          <w:ilvl w:val="0"/>
          <w:numId w:val="1001"/>
        </w:numPr>
      </w:pPr>
      <w:r>
        <w:rPr>
          <w:b/>
          <w:bCs/>
        </w:rPr>
        <w:t xml:space="preserve">Orders surged</w:t>
      </w:r>
      <w:r>
        <w:t xml:space="preserve">: management noted orders were up slightly over 10% in Q1 and backlog grew double digits, both sequentially and year-over-year, giving us momentum into Q2, with acceleration continuing into early April. Management flagged that this strength reflects the combined impact of our new product introductions, continued progress in commercial excellence and orders for longer lead time products, with some additional benefit from pre-buying ahead of recent price actions.</w:t>
      </w:r>
    </w:p>
    <w:p>
      <w:pPr>
        <w:pStyle w:val="Compact"/>
        <w:numPr>
          <w:ilvl w:val="0"/>
          <w:numId w:val="1001"/>
        </w:numPr>
      </w:pPr>
      <w:r>
        <w:t xml:space="preserve">Capital return remained aggressive: 3M returned $2.4 billion to shareholders in the first quarter, including approximately $400 million in dividends... and $2 billion through opportunistic share repurchases.</w:t>
      </w:r>
    </w:p>
    <w:p>
      <w:pPr>
        <w:pStyle w:val="Compact"/>
        <w:numPr>
          <w:ilvl w:val="0"/>
          <w:numId w:val="1001"/>
        </w:numPr>
      </w:pPr>
      <w:r>
        <w:rPr>
          <w:b/>
          <w:bCs/>
        </w:rPr>
        <w:t xml:space="preserve">Full-year guidance reiterated</w:t>
      </w:r>
      <w:r>
        <w:t xml:space="preserve">: organic sales growth of approximately 3%, earnings per share ranging from $8.50 to $8.70 and free cash flow conversion of greater than 100%.</w:t>
      </w:r>
    </w:p>
    <w:p>
      <w:r>
        <w:pict>
          <v:rect style="width:0;height:1.5pt" o:hralign="center" o:hrstd="t" o:hr="t"/>
        </w:pict>
      </w:r>
    </w:p>
    <w:bookmarkEnd w:id="10"/>
    <w:bookmarkStart w:id="17" w:name="key-things-to-watch-in-the-q2-print"/>
    <w:p>
      <w:pPr>
        <w:pStyle w:val="Heading2"/>
      </w:pPr>
      <w:r>
        <w:t xml:space="preserve">Key Things to Watch in the Q2 Print</w:t>
      </w:r>
    </w:p>
    <w:bookmarkStart w:id="11" w:name="X4d93905abe3661bbf2f7353784d868540034e3a"/>
    <w:p>
      <w:pPr>
        <w:pStyle w:val="Heading3"/>
      </w:pPr>
      <w:r>
        <w:t xml:space="preserve">1. Did growth actually accelerate as promised?</w:t>
      </w:r>
    </w:p>
    <w:p>
      <w:pPr>
        <w:pStyle w:val="FirstParagraph"/>
      </w:pPr>
      <w:r>
        <w:t xml:space="preserve">Management explicitly guided to sequential acceleration: we expect organic growth in the second quarter to be higher than 3%, with all the 3 BGs accelerating. SIBG, which was at 3.2%, obviously going higher than that. TEBG, low single digit. And CBG flat to positive. They also framed the cadence bluntly: we see Q2 being better than Q1. And we see the second half being better than the first half. Any shortfall here — especially in Consumer or Transportation &amp; Electronics — would be a red flag for the full-year algorithm.</w:t>
      </w:r>
    </w:p>
    <w:bookmarkEnd w:id="11"/>
    <w:bookmarkStart w:id="12" w:name="Xc85016002a375a195aa885b5bfbb982968b60c5"/>
    <w:p>
      <w:pPr>
        <w:pStyle w:val="Heading3"/>
      </w:pPr>
      <w:r>
        <w:t xml:space="preserve">2. The pre-buy question — does it unwind?</w:t>
      </w:r>
    </w:p>
    <w:p>
      <w:pPr>
        <w:pStyle w:val="FirstParagraph"/>
      </w:pPr>
      <w:r>
        <w:t xml:space="preserve">A major debate on the Q1 call was whether the order/backlog surge reflected genuine demand or customers front-running 3M's April/May oil-linked price increases. Management's own framing: any pre-buy that's happened will wash out in Q2, but we do see acceleration in the back half on the back of really core operating fundamentals around NPI and commercial excellence. Watch closely whether Q2 organic growth still clears management's 3%+ bar once any pre-buy reverses — this is the single biggest swing factor for how the print is received.</w:t>
      </w:r>
    </w:p>
    <w:bookmarkEnd w:id="12"/>
    <w:bookmarkStart w:id="13" w:name="X552b7ae3e8a9f549e68ed3944f97a8487f98085"/>
    <w:p>
      <w:pPr>
        <w:pStyle w:val="Heading3"/>
      </w:pPr>
      <w:r>
        <w:t xml:space="preserve">3. Margin trajectory and the tariff/oil cost offset</w:t>
      </w:r>
    </w:p>
    <w:p>
      <w:pPr>
        <w:pStyle w:val="FirstParagraph"/>
      </w:pPr>
      <w:r>
        <w:t xml:space="preserve">Management guided Q2 operating margin to roughly</w:t>
      </w:r>
      <w:r>
        <w:t xml:space="preserve"> </w:t>
      </w:r>
      <w:r>
        <w:rPr>
          <w:b/>
          <w:bCs/>
        </w:rPr>
        <w:t xml:space="preserve">24.5%</w:t>
      </w:r>
      <w:r>
        <w:t xml:space="preserve">, with between volume and productivity, we'll offset all the last quarter of the tariff year-over-year impact for us, a pickup in stranded costs and investments. On pricing, 3M layered incremental surcharge-like price increases tied to rising oil costs: we have about 45% of our cost of goods is raw materials and about 1/3 of that... is its basis in polychem... What we've seen so far and expect is about $125 million of cost increase there, which are offsetting into pricing. That implies total 2026 price contribution near</w:t>
      </w:r>
      <w:r>
        <w:t xml:space="preserve"> </w:t>
      </w:r>
      <w:r>
        <w:rPr>
          <w:b/>
          <w:bCs/>
        </w:rPr>
        <w:t xml:space="preserve">1.3 points</w:t>
      </w:r>
      <w:r>
        <w:t xml:space="preserve"> </w:t>
      </w:r>
      <w:r>
        <w:t xml:space="preserve">(80 bps base inflation pass-through + ~50 bps oil-related). Investors should check whether price/cost stayed neutral-to-positive as promised, given 3M was price/cost negative on tariffs a year ago.</w:t>
      </w:r>
    </w:p>
    <w:bookmarkEnd w:id="13"/>
    <w:bookmarkStart w:id="14" w:name="Xd4c88d52946a4d4946bdf56e90dc9aeaf6d2a75"/>
    <w:p>
      <w:pPr>
        <w:pStyle w:val="Heading3"/>
      </w:pPr>
      <w:r>
        <w:t xml:space="preserve">4. The earnings contingency — raised, maintained, or spent?</w:t>
      </w:r>
    </w:p>
    <w:p>
      <w:pPr>
        <w:pStyle w:val="FirstParagraph"/>
      </w:pPr>
      <w:r>
        <w:t xml:space="preserve">3M built a</w:t>
      </w:r>
      <w:r>
        <w:t xml:space="preserve"> </w:t>
      </w:r>
      <m:oMath>
        <m:r>
          <m:t>0.05</m:t>
        </m:r>
        <m:r>
          <m:rPr>
            <m:sty m:val="p"/>
          </m:rPr>
          <m:t>–</m:t>
        </m:r>
      </m:oMath>
      <w:r>
        <w:rPr>
          <w:b/>
          <w:bCs/>
        </w:rPr>
        <w:t xml:space="preserve">0.15 EPS contingency</w:t>
      </w:r>
      <w:r>
        <w:t xml:space="preserve"> </w:t>
      </w:r>
      <w:r>
        <w:t xml:space="preserve">into full-year guidance for macro/input-cost uncertainty tied to oil prices and volatility (e.g., Middle East-related supply risk). CFO Anurag Maheshwari said the update would come at this report: come July, we will give you an update on where we stand for the full year. Removal or narrowing of the contingency would be read as a confidence signal; retention or expansion would suggest lingering caution.</w:t>
      </w:r>
    </w:p>
    <w:bookmarkEnd w:id="14"/>
    <w:bookmarkStart w:id="15" w:name="X0901890eeee31fb136b6c194cccdb3b81655a97"/>
    <w:p>
      <w:pPr>
        <w:pStyle w:val="Heading3"/>
      </w:pPr>
      <w:r>
        <w:t xml:space="preserve">5. Segment-level puts and takes</w:t>
      </w:r>
    </w:p>
    <w:p>
      <w:pPr>
        <w:pStyle w:val="Compact"/>
        <w:numPr>
          <w:ilvl w:val="0"/>
          <w:numId w:val="1002"/>
        </w:numPr>
      </w:pPr>
      <w:r>
        <w:rPr>
          <w:b/>
          <w:bCs/>
        </w:rPr>
        <w:t xml:space="preserve">Safety &amp; Industrial (SIBG)</w:t>
      </w:r>
      <w:r>
        <w:t xml:space="preserve"> </w:t>
      </w:r>
      <w:r>
        <w:t xml:space="preserve">— the strongest segment, growing &gt;3% for multiple quarters on commercial-excellence and new-product traction; watch for continued mid-single-digit growth in adhesives/tapes, safety, electrical and abrasives.</w:t>
      </w:r>
    </w:p>
    <w:p>
      <w:pPr>
        <w:pStyle w:val="Compact"/>
        <w:numPr>
          <w:ilvl w:val="0"/>
          <w:numId w:val="1002"/>
        </w:numPr>
      </w:pPr>
      <w:r>
        <w:rPr>
          <w:b/>
          <w:bCs/>
        </w:rPr>
        <w:t xml:space="preserve">Transportation &amp; Electronics (TEBG)</w:t>
      </w:r>
      <w:r>
        <w:t xml:space="preserve"> </w:t>
      </w:r>
      <w:r>
        <w:t xml:space="preserve">— bifurcated: strong</w:t>
      </w:r>
      <w:r>
        <w:t xml:space="preserve"> </w:t>
      </w:r>
      <w:r>
        <w:rPr>
          <w:b/>
          <w:bCs/>
        </w:rPr>
        <w:t xml:space="preserve">semiconductor/data center</w:t>
      </w:r>
      <w:r>
        <w:t xml:space="preserve"> </w:t>
      </w:r>
      <w:r>
        <w:t xml:space="preserve">demand (including the new Expanded Beam Optics connector ramp) offsetting weak</w:t>
      </w:r>
      <w:r>
        <w:t xml:space="preserve"> </w:t>
      </w:r>
      <w:r>
        <w:rPr>
          <w:b/>
          <w:bCs/>
        </w:rPr>
        <w:t xml:space="preserve">consumer electronics</w:t>
      </w:r>
      <w:r>
        <w:t xml:space="preserve"> </w:t>
      </w:r>
      <w:r>
        <w:t xml:space="preserve">(memory-chip related softness) and soft global auto builds. Management expects electronics to turn "modestly positive" as the year progresses.</w:t>
      </w:r>
    </w:p>
    <w:p>
      <w:pPr>
        <w:pStyle w:val="Compact"/>
        <w:numPr>
          <w:ilvl w:val="0"/>
          <w:numId w:val="1002"/>
        </w:numPr>
      </w:pPr>
      <w:r>
        <w:rPr>
          <w:b/>
          <w:bCs/>
        </w:rPr>
        <w:t xml:space="preserve">Consumer (CBG)</w:t>
      </w:r>
      <w:r>
        <w:t xml:space="preserve"> </w:t>
      </w:r>
      <w:r>
        <w:t xml:space="preserve">— the laggard, down ~1% organically in Q1 on soft U.S. discretionary spending, but management cited encouraging trends: POS trends in the U.S. improved over the course of the quarter and were positive in 7 of the last 8 weeks. A visible Consumer inflection would help the multiple.</w:t>
      </w:r>
    </w:p>
    <w:bookmarkEnd w:id="15"/>
    <w:bookmarkStart w:id="16" w:name="X03f0f436d9dcd4350f10163501ec4fa73d40f01"/>
    <w:p>
      <w:pPr>
        <w:pStyle w:val="Heading3"/>
      </w:pPr>
      <w:r>
        <w:t xml:space="preserve">6. Portfolio reshaping and capital deployment updates</w:t>
      </w:r>
    </w:p>
    <w:p>
      <w:pPr>
        <w:pStyle w:val="Compact"/>
        <w:numPr>
          <w:ilvl w:val="0"/>
          <w:numId w:val="1003"/>
        </w:numPr>
      </w:pPr>
      <w:r>
        <w:t xml:space="preserve">The</w:t>
      </w:r>
      <w:r>
        <w:t xml:space="preserve"> </w:t>
      </w:r>
      <w:r>
        <w:rPr>
          <w:b/>
          <w:bCs/>
        </w:rPr>
        <w:t xml:space="preserve">Madison Fire &amp; Rescue / Scott Safety joint venture with Bain Capital</w:t>
      </w:r>
      <w:r>
        <w:t xml:space="preserve"> </w:t>
      </w:r>
      <w:r>
        <w:t xml:space="preserve">($1.95B, 50.1% 3M-owned) is expected to close in the second half of 2026 — any update on timing/regulatory approval is worth tracking.</w:t>
      </w:r>
    </w:p>
    <w:p>
      <w:pPr>
        <w:pStyle w:val="Compact"/>
        <w:numPr>
          <w:ilvl w:val="0"/>
          <w:numId w:val="1003"/>
        </w:numPr>
      </w:pPr>
      <w:r>
        <w:t xml:space="preserve">3M closed the</w:t>
      </w:r>
      <w:r>
        <w:t xml:space="preserve"> </w:t>
      </w:r>
      <w:r>
        <w:rPr>
          <w:b/>
          <w:bCs/>
        </w:rPr>
        <w:t xml:space="preserve">Precision Grinding &amp; Finishing</w:t>
      </w:r>
      <w:r>
        <w:t xml:space="preserve"> </w:t>
      </w:r>
      <w:r>
        <w:t xml:space="preserve">divestiture in April, reducing its factory footprint below 100 sites, part of a broader "transformation program" (facility consolidation, automation investment of $250M+ over three years).</w:t>
      </w:r>
    </w:p>
    <w:p>
      <w:pPr>
        <w:pStyle w:val="Compact"/>
        <w:numPr>
          <w:ilvl w:val="0"/>
          <w:numId w:val="1003"/>
        </w:numPr>
      </w:pPr>
      <w:r>
        <w:t xml:space="preserve">Buybacks have been running hot ($2B in Q1 alone); confirmation of pace and progress toward the multi-year</w:t>
      </w:r>
      <w:r>
        <w:t xml:space="preserve"> </w:t>
      </w:r>
      <m:oMath>
        <m:r>
          <m:t>10</m:t>
        </m:r>
        <m:r>
          <m:t>B</m:t>
        </m:r>
        <m:r>
          <m:t>s</m:t>
        </m:r>
        <m:r>
          <m:t>h</m:t>
        </m:r>
        <m:r>
          <m:t>a</m:t>
        </m:r>
        <m:r>
          <m:t>r</m:t>
        </m:r>
        <m:r>
          <m:t>e</m:t>
        </m:r>
        <m:r>
          <m:t>h</m:t>
        </m:r>
        <m:r>
          <m:t>o</m:t>
        </m:r>
        <m:r>
          <m:t>l</m:t>
        </m:r>
        <m:r>
          <m:t>d</m:t>
        </m:r>
        <m:r>
          <m:t>e</m:t>
        </m:r>
        <m:r>
          <m:t>r</m:t>
        </m:r>
        <m:r>
          <m:rPr>
            <m:sty m:val="p"/>
          </m:rPr>
          <m:t>−</m:t>
        </m:r>
        <m:r>
          <m:t>r</m:t>
        </m:r>
        <m:r>
          <m:t>e</m:t>
        </m:r>
        <m:r>
          <m:t>t</m:t>
        </m:r>
        <m:r>
          <m:t>u</m:t>
        </m:r>
        <m:r>
          <m:t>r</m:t>
        </m:r>
        <m:r>
          <m:t>n</m:t>
        </m:r>
        <m:r>
          <m:t>c</m:t>
        </m:r>
        <m:r>
          <m:t>o</m:t>
        </m:r>
        <m:r>
          <m:t>m</m:t>
        </m:r>
        <m:r>
          <m:t>m</m:t>
        </m:r>
        <m:r>
          <m:t>i</m:t>
        </m:r>
        <m:r>
          <m:t>t</m:t>
        </m:r>
        <m:r>
          <m:t>m</m:t>
        </m:r>
        <m:r>
          <m:t>e</m:t>
        </m:r>
        <m:r>
          <m:t>n</m:t>
        </m:r>
        <m:r>
          <m:t>t</m:t>
        </m:r>
        <m:r>
          <m:rPr>
            <m:sty m:val="p"/>
          </m:rPr>
          <m:t>(</m:t>
        </m:r>
        <m:r>
          <m:t>a</m:t>
        </m:r>
        <m:r>
          <m:t>l</m:t>
        </m:r>
        <m:r>
          <m:t>r</m:t>
        </m:r>
        <m:r>
          <m:t>e</m:t>
        </m:r>
        <m:r>
          <m:t>a</m:t>
        </m:r>
        <m:r>
          <m:t>d</m:t>
        </m:r>
        <m:r>
          <m:t>y</m:t>
        </m:r>
        <m:r>
          <m:rPr>
            <m:sty m:val="p"/>
          </m:rPr>
          <m:t>&gt;</m:t>
        </m:r>
      </m:oMath>
      <w:r>
        <w:t xml:space="preserve">7B delivered) will matter for EPS bridge assumptions.</w:t>
      </w:r>
    </w:p>
    <w:p>
      <w:r>
        <w:pict>
          <v:rect style="width:0;height:1.5pt" o:hralign="center" o:hrstd="t" o:hr="t"/>
        </w:pict>
      </w:r>
    </w:p>
    <w:bookmarkEnd w:id="16"/>
    <w:bookmarkEnd w:id="17"/>
    <w:bookmarkStart w:id="18" w:name="the-overhang-litigation-and-pfas"/>
    <w:p>
      <w:pPr>
        <w:pStyle w:val="Heading2"/>
      </w:pPr>
      <w:r>
        <w:t xml:space="preserve">The Overhang: Litigation and PFAS</w:t>
      </w:r>
    </w:p>
    <w:p>
      <w:pPr>
        <w:pStyle w:val="FirstParagraph"/>
      </w:pPr>
      <w:r>
        <w:t xml:space="preserve">Legal and environmental liabilities remain a persistent factor in 3M's story and cash flow, even if now mostly non-operating "special items":</w:t>
      </w:r>
    </w:p>
    <w:p>
      <w:pPr>
        <w:pStyle w:val="Compact"/>
        <w:numPr>
          <w:ilvl w:val="0"/>
          <w:numId w:val="1004"/>
        </w:numPr>
      </w:pPr>
      <w:r>
        <w:rPr>
          <w:b/>
          <w:bCs/>
        </w:rPr>
        <w:t xml:space="preserve">New PFAS suit</w:t>
      </w:r>
      <w:r>
        <w:t xml:space="preserve">: 3M was sued by New York on July 9 for causing a public nuisance by selling "forever chemicals" (PFAS) in consumer products that the company knew were toxic. State Attorney General Letitia James accused 3M of hiding the chemicals' environmental and health risks from consumers for decades. This adds to an already sprawling docket of state AG, AFFF-MDL, and municipal water-supplier litigation.</w:t>
      </w:r>
    </w:p>
    <w:p>
      <w:pPr>
        <w:pStyle w:val="Compact"/>
        <w:numPr>
          <w:ilvl w:val="0"/>
          <w:numId w:val="1004"/>
        </w:numPr>
      </w:pPr>
      <w:r>
        <w:t xml:space="preserve">As of March 31, 2026, 3M carried</w:t>
      </w:r>
      <w:r>
        <w:t xml:space="preserve"> </w:t>
      </w:r>
      <m:oMath>
        <m:r>
          <m:t>7.8</m:t>
        </m:r>
        <m:r>
          <m:t>b</m:t>
        </m:r>
        <m:r>
          <m:t>i</m:t>
        </m:r>
        <m:r>
          <m:t>l</m:t>
        </m:r>
        <m:r>
          <m:t>l</m:t>
        </m:r>
        <m:r>
          <m:t>i</m:t>
        </m:r>
        <m:r>
          <m:t>o</m:t>
        </m:r>
        <m:r>
          <m:t>n</m:t>
        </m:r>
        <m:r>
          <m:rPr>
            <m:sty m:val="p"/>
          </m:rPr>
          <m:t>*</m:t>
        </m:r>
        <m:r>
          <m:rPr>
            <m:sty m:val="p"/>
          </m:rPr>
          <m:t>*</m:t>
        </m:r>
        <m:r>
          <m:t>i</m:t>
        </m:r>
        <m:r>
          <m:t>n</m:t>
        </m:r>
        <m:r>
          <m:t>o</m:t>
        </m:r>
        <m:r>
          <m:t>t</m:t>
        </m:r>
        <m:r>
          <m:t>h</m:t>
        </m:r>
        <m:r>
          <m:t>e</m:t>
        </m:r>
        <m:r>
          <m:t>r</m:t>
        </m:r>
        <m:r>
          <m:t>e</m:t>
        </m:r>
        <m:r>
          <m:t>n</m:t>
        </m:r>
        <m:r>
          <m:t>v</m:t>
        </m:r>
        <m:r>
          <m:t>i</m:t>
        </m:r>
        <m:r>
          <m:t>r</m:t>
        </m:r>
        <m:r>
          <m:t>o</m:t>
        </m:r>
        <m:r>
          <m:t>n</m:t>
        </m:r>
        <m:r>
          <m:t>m</m:t>
        </m:r>
        <m:r>
          <m:t>e</m:t>
        </m:r>
        <m:r>
          <m:t>n</m:t>
        </m:r>
        <m:r>
          <m:t>t</m:t>
        </m:r>
        <m:r>
          <m:t>a</m:t>
        </m:r>
        <m:r>
          <m:t>l</m:t>
        </m:r>
        <m:r>
          <m:t>l</m:t>
        </m:r>
        <m:r>
          <m:t>i</m:t>
        </m:r>
        <m:r>
          <m:t>a</m:t>
        </m:r>
        <m:r>
          <m:t>b</m:t>
        </m:r>
        <m:r>
          <m:t>i</m:t>
        </m:r>
        <m:r>
          <m:t>l</m:t>
        </m:r>
        <m:r>
          <m:t>i</m:t>
        </m:r>
        <m:r>
          <m:t>t</m:t>
        </m:r>
        <m:r>
          <m:t>i</m:t>
        </m:r>
        <m:r>
          <m:t>e</m:t>
        </m:r>
        <m:r>
          <m:t>s</m:t>
        </m:r>
        <m:r>
          <m:rPr>
            <m:sty m:val="p"/>
          </m:rPr>
          <m:t>(</m:t>
        </m:r>
        <m:r>
          <m:t>m</m:t>
        </m:r>
        <m:r>
          <m:t>o</m:t>
        </m:r>
        <m:r>
          <m:t>s</m:t>
        </m:r>
        <m:r>
          <m:t>t</m:t>
        </m:r>
        <m:r>
          <m:t>l</m:t>
        </m:r>
        <m:r>
          <m:t>y</m:t>
        </m:r>
        <m:r>
          <m:t>P</m:t>
        </m:r>
        <m:r>
          <m:t>F</m:t>
        </m:r>
        <m:r>
          <m:t>A</m:t>
        </m:r>
        <m:r>
          <m:t>S</m:t>
        </m:r>
        <m:r>
          <m:rPr>
            <m:sty m:val="p"/>
          </m:rPr>
          <m:t>−</m:t>
        </m:r>
        <m:r>
          <m:t>r</m:t>
        </m:r>
        <m:r>
          <m:t>e</m:t>
        </m:r>
        <m:r>
          <m:t>l</m:t>
        </m:r>
        <m:r>
          <m:t>a</m:t>
        </m:r>
        <m:r>
          <m:t>t</m:t>
        </m:r>
        <m:r>
          <m:t>e</m:t>
        </m:r>
        <m:r>
          <m:t>d</m:t>
        </m:r>
        <m:r>
          <m:rPr>
            <m:sty m:val="p"/>
          </m:rPr>
          <m:t>,</m:t>
        </m:r>
        <m:r>
          <m:t>i</m:t>
        </m:r>
        <m:r>
          <m:t>n</m:t>
        </m:r>
        <m:r>
          <m:t>c</m:t>
        </m:r>
        <m:r>
          <m:t>l</m:t>
        </m:r>
        <m:r>
          <m:t>u</m:t>
        </m:r>
        <m:r>
          <m:t>d</m:t>
        </m:r>
        <m:r>
          <m:t>i</m:t>
        </m:r>
        <m:r>
          <m:t>n</m:t>
        </m:r>
        <m:r>
          <m:t>g</m:t>
        </m:r>
        <m:r>
          <m:t>t</m:t>
        </m:r>
        <m:r>
          <m:t>h</m:t>
        </m:r>
        <m:r>
          <m:t>e</m:t>
        </m:r>
        <m:r>
          <m:t>P</m:t>
        </m:r>
        <m:r>
          <m:t>W</m:t>
        </m:r>
        <m:r>
          <m:t>S</m:t>
        </m:r>
        <m:r>
          <m:t>S</m:t>
        </m:r>
        <m:r>
          <m:t>e</m:t>
        </m:r>
        <m:r>
          <m:t>t</m:t>
        </m:r>
        <m:r>
          <m:t>t</m:t>
        </m:r>
        <m:r>
          <m:t>l</m:t>
        </m:r>
        <m:r>
          <m:t>e</m:t>
        </m:r>
        <m:r>
          <m:t>m</m:t>
        </m:r>
        <m:r>
          <m:t>e</m:t>
        </m:r>
        <m:r>
          <m:t>n</m:t>
        </m:r>
        <m:r>
          <m:t>t</m:t>
        </m:r>
        <m:r>
          <m:rPr>
            <m:sty m:val="p"/>
          </m:rPr>
          <m:t>)</m:t>
        </m:r>
        <m:r>
          <m:t>a</m:t>
        </m:r>
        <m:r>
          <m:t>n</m:t>
        </m:r>
        <m:r>
          <m:t>d</m:t>
        </m:r>
        <m:r>
          <m:rPr>
            <m:sty m:val="p"/>
          </m:rPr>
          <m:t>*</m:t>
        </m:r>
        <m:r>
          <m:rPr>
            <m:sty m:val="p"/>
          </m:rPr>
          <m:t>*</m:t>
        </m:r>
      </m:oMath>
      <w:r>
        <w:rPr>
          <w:b/>
          <w:bCs/>
        </w:rPr>
        <w:t xml:space="preserve">2.2 billion</w:t>
      </w:r>
      <w:r>
        <w:t xml:space="preserve"> </w:t>
      </w:r>
      <w:r>
        <w:t xml:space="preserve">remaining in Combat Arms Earplugs settlement accruals, plus ~$460 million and $58 million in non-Aearo and Aearo respirator/asbestos accruals, respectively. Net litigation costs swing the adjusted-vs-GAAP EPS bridge materially each quarter (GAAP EPS of $1.23 vs. adjusted $2.14 in Q1) and cash payments for legacy litigation remain a drag on free cash flow conversion.</w:t>
      </w:r>
    </w:p>
    <w:p>
      <w:pPr>
        <w:pStyle w:val="Compact"/>
        <w:numPr>
          <w:ilvl w:val="0"/>
          <w:numId w:val="1004"/>
        </w:numPr>
      </w:pPr>
      <w:r>
        <w:t xml:space="preserve">Watch commentary on the pending</w:t>
      </w:r>
      <w:r>
        <w:t xml:space="preserve"> </w:t>
      </w:r>
      <w:r>
        <w:rPr>
          <w:b/>
          <w:bCs/>
        </w:rPr>
        <w:t xml:space="preserve">New Jersey PFAS settlement</w:t>
      </w:r>
      <w:r>
        <w:t xml:space="preserve"> </w:t>
      </w:r>
      <w:r>
        <w:t xml:space="preserve">court hearing (scheduled June 2026) and ongoing</w:t>
      </w:r>
      <w:r>
        <w:t xml:space="preserve"> </w:t>
      </w:r>
      <w:r>
        <w:rPr>
          <w:b/>
          <w:bCs/>
        </w:rPr>
        <w:t xml:space="preserve">Watson Grinding/Houston explosion</w:t>
      </w:r>
      <w:r>
        <w:t xml:space="preserve"> </w:t>
      </w:r>
      <w:r>
        <w:t xml:space="preserve">litigation appeals, both flagged as unresolved contingencies.</w:t>
      </w:r>
    </w:p>
    <w:p>
      <w:pPr>
        <w:pStyle w:val="FirstParagraph"/>
      </w:pPr>
      <w:r>
        <w:t xml:space="preserve">None of this is likely to move Q2 headline numbers (these are treated as special items excluded from adjusted EPS), but cash outflows and potential new accruals are a persistent tax on free cash flow and a headline risk given the steady cadence of new PFAS suits.</w:t>
      </w:r>
    </w:p>
    <w:p>
      <w:r>
        <w:pict>
          <v:rect style="width:0;height:1.5pt" o:hralign="center" o:hrstd="t" o:hr="t"/>
        </w:pict>
      </w:r>
    </w:p>
    <w:bookmarkEnd w:id="18"/>
    <w:bookmarkStart w:id="19" w:name="X8fb1c7767fa6ed326d2e8c1b9adfca267bf836c"/>
    <w:p>
      <w:pPr>
        <w:pStyle w:val="Heading2"/>
      </w:pPr>
      <w:r>
        <w:t xml:space="preserve">Balance Sheet / Cash Flow Snapshot (Q1 2026 actuals)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w:t>
            </w:r>
          </w:p>
        </w:tc>
        <w:tc>
          <w:tcPr/>
          <w:p>
            <w:pPr>
              <w:pStyle w:val="Compact"/>
            </w:pPr>
            <w:r>
              <w:t xml:space="preserve">Q1 2025</w:t>
            </w:r>
          </w:p>
        </w:tc>
      </w:tr>
      <w:tr>
        <w:tc>
          <w:tcPr/>
          <w:p>
            <w:pPr>
              <w:pStyle w:val="Compact"/>
            </w:pPr>
            <w:r>
              <w:t xml:space="preserve">Adjusted EPS</w:t>
            </w:r>
          </w:p>
        </w:tc>
        <w:tc>
          <w:tcPr/>
          <w:p>
            <w:pPr>
              <w:pStyle w:val="Compact"/>
            </w:pPr>
            <w:r>
              <w:t xml:space="preserve">$2.14</w:t>
            </w:r>
          </w:p>
        </w:tc>
        <w:tc>
          <w:tcPr/>
          <w:p>
            <w:pPr>
              <w:pStyle w:val="Compact"/>
            </w:pPr>
            <w:r>
              <w:t xml:space="preserve">$1.88</w:t>
            </w:r>
          </w:p>
        </w:tc>
      </w:tr>
      <w:tr>
        <w:tc>
          <w:tcPr/>
          <w:p>
            <w:pPr>
              <w:pStyle w:val="Compact"/>
            </w:pPr>
            <w:r>
              <w:t xml:space="preserve">Adjusted operating margin</w:t>
            </w:r>
          </w:p>
        </w:tc>
        <w:tc>
          <w:tcPr/>
          <w:p>
            <w:pPr>
              <w:pStyle w:val="Compact"/>
            </w:pPr>
            <w:r>
              <w:t xml:space="preserve">23.8%</w:t>
            </w:r>
          </w:p>
        </w:tc>
        <w:tc>
          <w:tcPr/>
          <w:p>
            <w:pPr>
              <w:pStyle w:val="Compact"/>
            </w:pPr>
            <w:r>
              <w:t xml:space="preserve">23.5%</w:t>
            </w:r>
          </w:p>
        </w:tc>
      </w:tr>
      <w:tr>
        <w:tc>
          <w:tcPr/>
          <w:p>
            <w:pPr>
              <w:pStyle w:val="Compact"/>
            </w:pPr>
            <w:r>
              <w:t xml:space="preserve">Adjusted organic sales growth</w:t>
            </w:r>
          </w:p>
        </w:tc>
        <w:tc>
          <w:tcPr/>
          <w:p>
            <w:pPr>
              <w:pStyle w:val="Compact"/>
            </w:pPr>
            <w:r>
              <w:t xml:space="preserve">1.2%</w:t>
            </w:r>
          </w:p>
        </w:tc>
        <w:tc>
          <w:tcPr/>
          <w:p>
            <w:pPr>
              <w:pStyle w:val="Compact"/>
            </w:pPr>
            <w:r>
              <w:t xml:space="preserve">—</w:t>
            </w:r>
          </w:p>
        </w:tc>
      </w:tr>
      <w:tr>
        <w:tc>
          <w:tcPr/>
          <w:p>
            <w:pPr>
              <w:pStyle w:val="Compact"/>
            </w:pPr>
            <w:r>
              <w:t xml:space="preserve">Adjusted free cash flow</w:t>
            </w:r>
          </w:p>
        </w:tc>
        <w:tc>
          <w:tcPr/>
          <w:p>
            <w:pPr>
              <w:pStyle w:val="Compact"/>
            </w:pPr>
            <w:r>
              <w:t xml:space="preserve">$541M</w:t>
            </w:r>
          </w:p>
        </w:tc>
        <w:tc>
          <w:tcPr/>
          <w:p>
            <w:pPr>
              <w:pStyle w:val="Compact"/>
            </w:pPr>
            <w:r>
              <w:t xml:space="preserve">$489M</w:t>
            </w:r>
          </w:p>
        </w:tc>
      </w:tr>
      <w:tr>
        <w:tc>
          <w:tcPr/>
          <w:p>
            <w:pPr>
              <w:pStyle w:val="Compact"/>
            </w:pPr>
            <w:r>
              <w:t xml:space="preserve">Cash &amp; equivalents</w:t>
            </w:r>
          </w:p>
        </w:tc>
        <w:tc>
          <w:tcPr/>
          <w:p>
            <w:pPr>
              <w:pStyle w:val="Compact"/>
            </w:pPr>
            <w:r>
              <w:t xml:space="preserve">$3.7B</w:t>
            </w:r>
          </w:p>
        </w:tc>
        <w:tc>
          <w:tcPr/>
          <w:p>
            <w:pPr>
              <w:pStyle w:val="Compact"/>
            </w:pPr>
            <w:r>
              <w:t xml:space="preserve">$6.3B (Q1'25 end)</w:t>
            </w:r>
          </w:p>
        </w:tc>
      </w:tr>
      <w:tr>
        <w:tc>
          <w:tcPr/>
          <w:p>
            <w:pPr>
              <w:pStyle w:val="Compact"/>
            </w:pPr>
            <w:r>
              <w:t xml:space="preserve">Shareholder returns</w:t>
            </w:r>
          </w:p>
        </w:tc>
        <w:tc>
          <w:tcPr/>
          <w:p>
            <w:pPr>
              <w:pStyle w:val="Compact"/>
            </w:pPr>
            <m:oMath>
              <m:r>
                <m:t>2.4</m:t>
              </m:r>
              <m:r>
                <m:t>B</m:t>
              </m:r>
              <m:r>
                <m:rPr>
                  <m:sty m:val="p"/>
                </m:rPr>
                <m:t>(</m:t>
              </m:r>
            </m:oMath>
            <w:r>
              <w:t xml:space="preserve">400M div + $2.0B buyback)</w:t>
            </w:r>
          </w:p>
        </w:tc>
        <w:tc>
          <w:tcPr/>
          <w:p>
            <w:pPr>
              <w:pStyle w:val="Compact"/>
            </w:pPr>
            <w:r>
              <w:t xml:space="preserve">—</w:t>
            </w:r>
          </w:p>
        </w:tc>
      </w:tr>
    </w:tbl>
    <w:p>
      <w:pPr>
        <w:pStyle w:val="BodyText"/>
      </w:pPr>
      <w:r>
        <w:t xml:space="preserve">Cash fell from $5.2B to</w:t>
      </w:r>
      <w:r>
        <w:t xml:space="preserve"> </w:t>
      </w:r>
      <m:oMath>
        <m:r>
          <m:t>3.7</m:t>
        </m:r>
        <m:r>
          <m:t>B</m:t>
        </m:r>
        <m:r>
          <m:t>i</m:t>
        </m:r>
        <m:r>
          <m:t>n</m:t>
        </m:r>
        <m:r>
          <m:t>t</m:t>
        </m:r>
        <m:r>
          <m:t>h</m:t>
        </m:r>
        <m:r>
          <m:t>e</m:t>
        </m:r>
        <m:r>
          <m:t>q</m:t>
        </m:r>
        <m:r>
          <m:t>u</m:t>
        </m:r>
        <m:r>
          <m:t>a</m:t>
        </m:r>
        <m:r>
          <m:t>r</m:t>
        </m:r>
        <m:r>
          <m:t>t</m:t>
        </m:r>
        <m:r>
          <m:t>e</m:t>
        </m:r>
        <m:r>
          <m:t>r</m:t>
        </m:r>
        <m:r>
          <m:rPr>
            <m:sty m:val="p"/>
          </m:rPr>
          <m:t>,</m:t>
        </m:r>
        <m:r>
          <m:t>p</m:t>
        </m:r>
        <m:r>
          <m:t>r</m:t>
        </m:r>
        <m:r>
          <m:t>i</m:t>
        </m:r>
        <m:r>
          <m:t>m</m:t>
        </m:r>
        <m:r>
          <m:t>a</m:t>
        </m:r>
        <m:r>
          <m:t>r</m:t>
        </m:r>
        <m:r>
          <m:t>i</m:t>
        </m:r>
        <m:r>
          <m:t>l</m:t>
        </m:r>
        <m:r>
          <m:t>y</m:t>
        </m:r>
        <m:r>
          <m:t>r</m:t>
        </m:r>
        <m:r>
          <m:t>e</m:t>
        </m:r>
        <m:r>
          <m:t>f</m:t>
        </m:r>
        <m:r>
          <m:t>l</m:t>
        </m:r>
        <m:r>
          <m:t>e</m:t>
        </m:r>
        <m:r>
          <m:t>c</m:t>
        </m:r>
        <m:r>
          <m:t>t</m:t>
        </m:r>
        <m:r>
          <m:t>i</m:t>
        </m:r>
        <m:r>
          <m:t>n</m:t>
        </m:r>
        <m:r>
          <m:t>g</m:t>
        </m:r>
        <m:r>
          <m:t>t</m:t>
        </m:r>
        <m:r>
          <m:t>h</m:t>
        </m:r>
        <m:r>
          <m:t>e</m:t>
        </m:r>
        <m:r>
          <m:t>p</m:t>
        </m:r>
        <m:r>
          <m:t>a</m:t>
        </m:r>
        <m:r>
          <m:t>c</m:t>
        </m:r>
        <m:r>
          <m:t>e</m:t>
        </m:r>
        <m:r>
          <m:t>o</m:t>
        </m:r>
        <m:r>
          <m:t>f</m:t>
        </m:r>
        <m:r>
          <m:t>b</m:t>
        </m:r>
        <m:r>
          <m:t>u</m:t>
        </m:r>
        <m:r>
          <m:t>y</m:t>
        </m:r>
        <m:r>
          <m:t>b</m:t>
        </m:r>
        <m:r>
          <m:t>a</m:t>
        </m:r>
        <m:r>
          <m:t>c</m:t>
        </m:r>
        <m:r>
          <m:t>k</m:t>
        </m:r>
        <m:r>
          <m:t>s</m:t>
        </m:r>
        <m:r>
          <m:t>a</m:t>
        </m:r>
        <m:r>
          <m:t>n</m:t>
        </m:r>
        <m:r>
          <m:t>d</m:t>
        </m:r>
        <m:r>
          <m:t>l</m:t>
        </m:r>
        <m:r>
          <m:t>i</m:t>
        </m:r>
        <m:r>
          <m:t>t</m:t>
        </m:r>
        <m:r>
          <m:t>i</m:t>
        </m:r>
        <m:r>
          <m:t>g</m:t>
        </m:r>
        <m:r>
          <m:t>a</m:t>
        </m:r>
        <m:r>
          <m:t>t</m:t>
        </m:r>
        <m:r>
          <m:t>i</m:t>
        </m:r>
        <m:r>
          <m:t>o</m:t>
        </m:r>
        <m:r>
          <m:t>n</m:t>
        </m:r>
        <m:r>
          <m:rPr>
            <m:sty m:val="p"/>
          </m:rPr>
          <m:t>−</m:t>
        </m:r>
        <m:r>
          <m:t>r</m:t>
        </m:r>
        <m:r>
          <m:t>e</m:t>
        </m:r>
        <m:r>
          <m:t>l</m:t>
        </m:r>
        <m:r>
          <m:t>a</m:t>
        </m:r>
        <m:r>
          <m:t>t</m:t>
        </m:r>
        <m:r>
          <m:t>e</m:t>
        </m:r>
        <m:r>
          <m:t>d</m:t>
        </m:r>
        <m:r>
          <m:t>p</m:t>
        </m:r>
        <m:r>
          <m:t>a</m:t>
        </m:r>
        <m:r>
          <m:t>y</m:t>
        </m:r>
        <m:r>
          <m:t>m</m:t>
        </m:r>
        <m:r>
          <m:t>e</m:t>
        </m:r>
        <m:r>
          <m:t>n</m:t>
        </m:r>
        <m:r>
          <m:t>t</m:t>
        </m:r>
        <m:r>
          <m:t>s</m:t>
        </m:r>
        <m:r>
          <m:rPr>
            <m:sty m:val="p"/>
          </m:rPr>
          <m:t>—</m:t>
        </m:r>
        <m:r>
          <m:t>w</m:t>
        </m:r>
        <m:r>
          <m:t>o</m:t>
        </m:r>
        <m:r>
          <m:t>r</m:t>
        </m:r>
        <m:r>
          <m:t>t</m:t>
        </m:r>
        <m:r>
          <m:t>h</m:t>
        </m:r>
        <m:r>
          <m:t>w</m:t>
        </m:r>
        <m:r>
          <m:t>a</m:t>
        </m:r>
        <m:r>
          <m:t>t</m:t>
        </m:r>
        <m:r>
          <m:t>c</m:t>
        </m:r>
        <m:r>
          <m:t>h</m:t>
        </m:r>
        <m:r>
          <m:t>i</m:t>
        </m:r>
        <m:r>
          <m:t>n</m:t>
        </m:r>
        <m:r>
          <m:t>g</m:t>
        </m:r>
        <m:r>
          <m:t>w</m:t>
        </m:r>
        <m:r>
          <m:t>h</m:t>
        </m:r>
        <m:r>
          <m:t>e</m:t>
        </m:r>
        <m:r>
          <m:t>t</m:t>
        </m:r>
        <m:r>
          <m:t>h</m:t>
        </m:r>
        <m:r>
          <m:t>e</m:t>
        </m:r>
        <m:r>
          <m:t>r</m:t>
        </m:r>
        <m:r>
          <m:t>t</m:t>
        </m:r>
        <m:r>
          <m:t>h</m:t>
        </m:r>
        <m:r>
          <m:t>a</m:t>
        </m:r>
        <m:r>
          <m:t>t</m:t>
        </m:r>
        <m:r>
          <m:t>p</m:t>
        </m:r>
        <m:r>
          <m:t>a</m:t>
        </m:r>
        <m:r>
          <m:t>c</m:t>
        </m:r>
        <m:r>
          <m:t>e</m:t>
        </m:r>
        <m:r>
          <m:t>o</m:t>
        </m:r>
        <m:r>
          <m:t>f</m:t>
        </m:r>
        <m:r>
          <m:t>c</m:t>
        </m:r>
        <m:r>
          <m:t>a</m:t>
        </m:r>
        <m:r>
          <m:t>p</m:t>
        </m:r>
        <m:r>
          <m:t>i</m:t>
        </m:r>
        <m:r>
          <m:t>t</m:t>
        </m:r>
        <m:r>
          <m:t>a</m:t>
        </m:r>
        <m:r>
          <m:t>l</m:t>
        </m:r>
        <m:r>
          <m:t>r</m:t>
        </m:r>
        <m:r>
          <m:t>e</m:t>
        </m:r>
        <m:r>
          <m:t>t</m:t>
        </m:r>
        <m:r>
          <m:t>u</m:t>
        </m:r>
        <m:r>
          <m:t>r</m:t>
        </m:r>
        <m:r>
          <m:t>n</m:t>
        </m:r>
        <m:r>
          <m:t>c</m:t>
        </m:r>
        <m:r>
          <m:t>o</m:t>
        </m:r>
        <m:r>
          <m:t>n</m:t>
        </m:r>
        <m:r>
          <m:t>t</m:t>
        </m:r>
        <m:r>
          <m:t>i</m:t>
        </m:r>
        <m:r>
          <m:t>n</m:t>
        </m:r>
        <m:r>
          <m:t>u</m:t>
        </m:r>
        <m:r>
          <m:t>e</m:t>
        </m:r>
        <m:r>
          <m:t>s</m:t>
        </m:r>
        <m:r>
          <m:t>a</m:t>
        </m:r>
        <m:r>
          <m:t>l</m:t>
        </m:r>
        <m:r>
          <m:t>o</m:t>
        </m:r>
        <m:r>
          <m:t>n</m:t>
        </m:r>
        <m:r>
          <m:t>g</m:t>
        </m:r>
        <m:r>
          <m:t>s</m:t>
        </m:r>
        <m:r>
          <m:t>i</m:t>
        </m:r>
        <m:r>
          <m:t>d</m:t>
        </m:r>
        <m:r>
          <m:t>e</m:t>
        </m:r>
        <m:r>
          <m:t>t</m:t>
        </m:r>
        <m:r>
          <m:t>h</m:t>
        </m:r>
        <m:r>
          <m:t>e</m:t>
        </m:r>
        <m:r>
          <m:t>p</m:t>
        </m:r>
        <m:r>
          <m:t>e</m:t>
        </m:r>
        <m:r>
          <m:t>n</m:t>
        </m:r>
        <m:r>
          <m:t>d</m:t>
        </m:r>
        <m:r>
          <m:t>i</m:t>
        </m:r>
        <m:r>
          <m:t>n</m:t>
        </m:r>
        <m:r>
          <m:t>g</m:t>
        </m:r>
        <m:r>
          <m:t> </m:t>
        </m:r>
      </m:oMath>
      <w:r>
        <w:t xml:space="preserve">1.95B Madison acquisition financing.</w:t>
      </w:r>
    </w:p>
    <w:p>
      <w:r>
        <w:pict>
          <v:rect style="width:0;height:1.5pt" o:hralign="center" o:hrstd="t" o:hr="t"/>
        </w:pict>
      </w:r>
    </w:p>
    <w:bookmarkEnd w:id="19"/>
    <w:bookmarkStart w:id="20" w:name="full-year-2026-guidance-reiterated-at-q1"/>
    <w:p>
      <w:pPr>
        <w:pStyle w:val="Heading2"/>
      </w:pPr>
      <w:r>
        <w:t xml:space="preserve">Full-Year 2026 Guidance (Reiterated at Q1)</w:t>
      </w:r>
    </w:p>
    <w:p>
      <w:pPr>
        <w:pStyle w:val="Compact"/>
        <w:numPr>
          <w:ilvl w:val="0"/>
          <w:numId w:val="1005"/>
        </w:numPr>
      </w:pPr>
      <w:r>
        <w:t xml:space="preserve">Adjusted total sales growth of</w:t>
      </w:r>
      <w:r>
        <w:t xml:space="preserve"> </w:t>
      </w:r>
      <w:r>
        <w:rPr>
          <w:b/>
          <w:bCs/>
        </w:rPr>
        <w:t xml:space="preserve">~4%</w:t>
      </w:r>
      <w:r>
        <w:t xml:space="preserve"> </w:t>
      </w:r>
      <w:r>
        <w:t xml:space="preserve">(organic</w:t>
      </w:r>
      <w:r>
        <w:t xml:space="preserve"> </w:t>
      </w:r>
      <w:r>
        <w:rPr>
          <w:b/>
          <w:bCs/>
        </w:rPr>
        <w:t xml:space="preserve">~3%</w:t>
      </w:r>
      <w:r>
        <w:t xml:space="preserve">)</w:t>
      </w:r>
    </w:p>
    <w:p>
      <w:pPr>
        <w:pStyle w:val="Compact"/>
        <w:numPr>
          <w:ilvl w:val="0"/>
          <w:numId w:val="1005"/>
        </w:numPr>
      </w:pPr>
      <w:r>
        <w:t xml:space="preserve">Adjusted operating margin expansion of</w:t>
      </w:r>
      <w:r>
        <w:t xml:space="preserve"> </w:t>
      </w:r>
      <w:r>
        <w:rPr>
          <w:b/>
          <w:bCs/>
        </w:rPr>
        <w:t xml:space="preserve">70–80 bps</w:t>
      </w:r>
    </w:p>
    <w:p>
      <w:pPr>
        <w:pStyle w:val="Compact"/>
        <w:numPr>
          <w:ilvl w:val="0"/>
          <w:numId w:val="1005"/>
        </w:numPr>
      </w:pPr>
      <w:r>
        <w:t xml:space="preserve">Adjusted EPS of</w:t>
      </w:r>
      <w:r>
        <w:t xml:space="preserve"> </w:t>
      </w:r>
      <m:oMath>
        <m:r>
          <m:t>8.50</m:t>
        </m:r>
        <m:r>
          <m:rPr>
            <m:sty m:val="p"/>
          </m:rPr>
          <m:t>–</m:t>
        </m:r>
      </m:oMath>
      <w:r>
        <w:rPr>
          <w:b/>
          <w:bCs/>
        </w:rPr>
        <w:t xml:space="preserve">8.70</w:t>
      </w:r>
    </w:p>
    <w:p>
      <w:pPr>
        <w:pStyle w:val="Compact"/>
        <w:numPr>
          <w:ilvl w:val="0"/>
          <w:numId w:val="1005"/>
        </w:numPr>
      </w:pPr>
      <w:r>
        <w:t xml:space="preserve">Adjusted operating cash flow of</w:t>
      </w:r>
      <w:r>
        <w:t xml:space="preserve"> </w:t>
      </w:r>
      <m:oMath>
        <m:r>
          <m:t>5.6</m:t>
        </m:r>
        <m:r>
          <m:rPr>
            <m:sty m:val="p"/>
          </m:rPr>
          <m:t>–</m:t>
        </m:r>
      </m:oMath>
      <w:r>
        <w:rPr>
          <w:b/>
          <w:bCs/>
        </w:rPr>
        <w:t xml:space="preserve">5.8B</w:t>
      </w:r>
      <w:r>
        <w:t xml:space="preserve">, &gt;100% adjusted free cash flow conversion</w:t>
      </w:r>
    </w:p>
    <w:p>
      <w:r>
        <w:pict>
          <v:rect style="width:0;height:1.5pt" o:hralign="center" o:hrstd="t" o:hr="t"/>
        </w:pict>
      </w:r>
    </w:p>
    <w:bookmarkEnd w:id="20"/>
    <w:bookmarkStart w:id="21" w:name="bottom-line-for-investors"/>
    <w:p>
      <w:pPr>
        <w:pStyle w:val="Heading2"/>
      </w:pPr>
      <w:r>
        <w:t xml:space="preserve">Bottom Line for Investors</w:t>
      </w:r>
    </w:p>
    <w:p>
      <w:pPr>
        <w:pStyle w:val="FirstParagraph"/>
      </w:pPr>
      <w:r>
        <w:t xml:space="preserve">The Q2 print is really a</w:t>
      </w:r>
      <w:r>
        <w:t xml:space="preserve"> </w:t>
      </w:r>
      <w:r>
        <w:rPr>
          <w:b/>
          <w:bCs/>
        </w:rPr>
        <w:t xml:space="preserve">credibility test</w:t>
      </w:r>
      <w:r>
        <w:t xml:space="preserve"> </w:t>
      </w:r>
      <w:r>
        <w:t xml:space="preserve">for management's "acceleration through the year" narrative. Consensus (~3.15% organic growth, ~24.65% margin, $2.24 EPS) is roughly in line with what management itself guided to on the Q1 call. The key swing factors are: (1) whether the Q1 order surge was real demand or pre-buying that reverses, (2) whether oil-driven cost inflation was fully offset by price as promised, and (3) whether the Consumer segment's improving POS trend has translated into actual organic growth. A clean beat-and-raise, or explicit removal of the EPS contingency, would reinforce the turnaround thesis; a miss on organic growth — even with margin/EPS in line — would revive concerns that the "acceleration" is more optics (pricing, backlog timing) than durable demand. Legal/PFAS headlines will continue to generate news flow but are unlikely to be the swing factor for the stock reaction this quarter.</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2026-07-21T01:45:19Z</dcterms:created>
  <dcterms:modified xsi:type="dcterms:W3CDTF">2026-07-21T01:45:19Z</dcterms:modified>
</cp:coreProperties>
</file>

<file path=docProps/custom.xml><?xml version="1.0" encoding="utf-8"?>
<Properties xmlns="http://schemas.openxmlformats.org/officeDocument/2006/custom-properties" xmlns:vt="http://schemas.openxmlformats.org/officeDocument/2006/docPropsVTypes"/>
</file>