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f0a94bc5f11f01c69749eb48196ad806c1b19c"/>
    <w:p>
      <w:pPr>
        <w:pStyle w:val="Heading1"/>
      </w:pPr>
      <w:r>
        <w:t xml:space="preserve">3M (NYSE: MMM) — 2026 Q2 Earnings Preview</w:t>
      </w:r>
    </w:p>
    <w:p>
      <w:pPr>
        <w:pStyle w:val="BlockText"/>
      </w:pPr>
      <w:r>
        <w:rPr>
          <w:b/>
          <w:bCs/>
        </w:rPr>
        <w:t xml:space="preserve">Timing note:</w:t>
      </w:r>
      <w:r>
        <w:t xml:space="preserve"> </w:t>
      </w:r>
      <w:r>
        <w:t xml:space="preserve">July 21, 2026 is today, not tomorrow. The latest available event information indicates that 3M is scheduled to report before the U.S. market opens on</w:t>
      </w:r>
      <w:r>
        <w:t xml:space="preserve"> </w:t>
      </w:r>
      <w:r>
        <w:rPr>
          <w:b/>
          <w:bCs/>
        </w:rPr>
        <w:t xml:space="preserve">Tuesday, July 21</w:t>
      </w:r>
      <w:r>
        <w:t xml:space="preserve">, followed by its 2026 Q2 earnings call.</w:t>
      </w:r>
    </w:p>
    <w:bookmarkStart w:id="9" w:name="executive-view"/>
    <w:p>
      <w:pPr>
        <w:pStyle w:val="Heading2"/>
      </w:pPr>
      <w:r>
        <w:t xml:space="preserve">Executive view</w:t>
      </w:r>
    </w:p>
    <w:p>
      <w:pPr>
        <w:pStyle w:val="FirstParagraph"/>
      </w:pPr>
      <w:r>
        <w:t xml:space="preserve">The central question is no longer whether 3M can cut costs. It is whether management’s operational overhaul can produce</w:t>
      </w:r>
      <w:r>
        <w:t xml:space="preserve"> </w:t>
      </w:r>
      <w:r>
        <w:rPr>
          <w:b/>
          <w:bCs/>
        </w:rPr>
        <w:t xml:space="preserve">sustainable organic growth without sacrificing margins</w:t>
      </w:r>
      <w:r>
        <w:t xml:space="preserve">.</w:t>
      </w:r>
    </w:p>
    <w:p>
      <w:pPr>
        <w:pStyle w:val="BodyText"/>
      </w:pPr>
      <w:r>
        <w:t xml:space="preserve">3M entered Q2 with unusually strong orders and backlog, while management explicitly forecast an acceleration from Q1’s 1.2% adjusted organic growth. That makes the top line—and particularly Transportation &amp; Electronics—the most important test in the report.</w:t>
      </w:r>
    </w:p>
    <w:p>
      <w:pPr>
        <w:pStyle w:val="BodyText"/>
      </w:pPr>
      <w:r>
        <w:t xml:space="preserve">The consensus hurdle appears manageable: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metric</w:t>
            </w:r>
          </w:p>
        </w:tc>
        <w:tc>
          <w:tcPr/>
          <w:p>
            <w:pPr>
              <w:pStyle w:val="Compact"/>
              <w:jc w:val="right"/>
            </w:pPr>
            <w:r>
              <w:t xml:space="preserve">Market expectation</w:t>
            </w:r>
          </w:p>
        </w:tc>
        <w:tc>
          <w:tcPr/>
          <w:p>
            <w:pPr>
              <w:pStyle w:val="Compact"/>
              <w:jc w:val="right"/>
            </w:pPr>
            <w:r>
              <w:t xml:space="preserve">Q2 2025</w:t>
            </w:r>
          </w:p>
        </w:tc>
        <w:tc>
          <w:tcPr/>
          <w:p>
            <w:pPr>
              <w:pStyle w:val="Compact"/>
            </w:pPr>
            <w:r>
              <w:t xml:space="preserve">Management’s Q1 commentary</w:t>
            </w:r>
          </w:p>
        </w:tc>
      </w:tr>
      <w:tr>
        <w:tc>
          <w:tcPr/>
          <w:p>
            <w:pPr>
              <w:pStyle w:val="Compact"/>
            </w:pPr>
            <w:r>
              <w:t xml:space="preserve">Adjusted organic growth</w:t>
            </w:r>
          </w:p>
        </w:tc>
        <w:tc>
          <w:tcPr/>
          <w:p>
            <w:pPr>
              <w:pStyle w:val="Compact"/>
              <w:jc w:val="right"/>
            </w:pPr>
            <w:r>
              <w:t xml:space="preserve">~3.15%</w:t>
            </w:r>
          </w:p>
        </w:tc>
        <w:tc>
          <w:tcPr/>
          <w:p>
            <w:pPr>
              <w:pStyle w:val="Compact"/>
              <w:jc w:val="right"/>
            </w:pPr>
            <w:r>
              <w:t xml:space="preserve">1.5%</w:t>
            </w:r>
          </w:p>
        </w:tc>
        <w:tc>
          <w:tcPr/>
          <w:p>
            <w:pPr>
              <w:pStyle w:val="Compact"/>
            </w:pPr>
            <w:r>
              <w:t xml:space="preserve">Above 3%</w:t>
            </w:r>
          </w:p>
        </w:tc>
      </w:tr>
      <w:tr>
        <w:tc>
          <w:tcPr/>
          <w:p>
            <w:pPr>
              <w:pStyle w:val="Compact"/>
            </w:pPr>
            <w:r>
              <w:t xml:space="preserve">Adjusted operating margin</w:t>
            </w:r>
          </w:p>
        </w:tc>
        <w:tc>
          <w:tcPr/>
          <w:p>
            <w:pPr>
              <w:pStyle w:val="Compact"/>
              <w:jc w:val="right"/>
            </w:pPr>
            <w:r>
              <w:t xml:space="preserve">~24.65%</w:t>
            </w:r>
          </w:p>
        </w:tc>
        <w:tc>
          <w:tcPr/>
          <w:p>
            <w:pPr>
              <w:pStyle w:val="Compact"/>
              <w:jc w:val="right"/>
            </w:pPr>
            <w:r>
              <w:t xml:space="preserve">24.5%</w:t>
            </w:r>
          </w:p>
        </w:tc>
        <w:tc>
          <w:tcPr/>
          <w:p>
            <w:pPr>
              <w:pStyle w:val="Compact"/>
            </w:pPr>
            <w:r>
              <w:t xml:space="preserve">Approximately 24.5%</w:t>
            </w:r>
          </w:p>
        </w:tc>
      </w:tr>
      <w:tr>
        <w:tc>
          <w:tcPr/>
          <w:p>
            <w:pPr>
              <w:pStyle w:val="Compact"/>
            </w:pPr>
            <w:r>
              <w:t xml:space="preserve">Adjusted EPS</w:t>
            </w:r>
          </w:p>
        </w:tc>
        <w:tc>
          <w:tcPr/>
          <w:p>
            <w:pPr>
              <w:pStyle w:val="Compact"/>
              <w:jc w:val="right"/>
            </w:pPr>
            <w:r>
              <w:t xml:space="preserve">$2.24</w:t>
            </w:r>
          </w:p>
        </w:tc>
        <w:tc>
          <w:tcPr/>
          <w:p>
            <w:pPr>
              <w:pStyle w:val="Compact"/>
              <w:jc w:val="right"/>
            </w:pPr>
            <w:r>
              <w:t xml:space="preserve">$2.16</w:t>
            </w:r>
          </w:p>
        </w:tc>
        <w:tc>
          <w:tcPr/>
          <w:p>
            <w:pPr>
              <w:pStyle w:val="Compact"/>
            </w:pPr>
            <w:r>
              <w:t xml:space="preserve">More than $0.05 of YoY growth, implying above $2.21</w:t>
            </w:r>
          </w:p>
        </w:tc>
      </w:tr>
    </w:tbl>
    <w:p>
      <w:pPr>
        <w:pStyle w:val="BodyText"/>
      </w:pPr>
      <w:r>
        <w:t xml:space="preserve">A modest EPS beat alone may not be enough to move the stock materially. Investors will want evidence that the order strength was genuine rather than largely pre-buying—and that management can raise or at least de-risk full-year guidance.</w:t>
      </w:r>
    </w:p>
    <w:p>
      <w:r>
        <w:pict>
          <v:rect style="width:0;height:1.5pt" o:hralign="center" o:hrstd="t" o:hr="t"/>
        </w:pict>
      </w:r>
    </w:p>
    <w:bookmarkEnd w:id="9"/>
    <w:bookmarkStart w:id="10" w:name="what-is-priced-in"/>
    <w:p>
      <w:pPr>
        <w:pStyle w:val="Heading2"/>
      </w:pPr>
      <w:r>
        <w:t xml:space="preserve">What is priced in?</w:t>
      </w:r>
    </w:p>
    <w:p>
      <w:pPr>
        <w:pStyle w:val="FirstParagraph"/>
      </w:pPr>
      <w:r>
        <w:t xml:space="preserve">MMM closed at</w:t>
      </w:r>
      <w:r>
        <w:t xml:space="preserve"> </w:t>
      </w:r>
      <w:r>
        <w:rPr>
          <w:b/>
          <w:bCs/>
        </w:rPr>
        <w:t xml:space="preserve">$159.14 on July 20</w:t>
      </w:r>
      <w:r>
        <w:t xml:space="preserve">, up roughly 5% from the session before its Q1 report, broadly similar to the S&amp;P 500 over that period.</w:t>
      </w:r>
    </w:p>
    <w:p>
      <w:pPr>
        <w:pStyle w:val="BodyText"/>
      </w:pPr>
      <w:r>
        <w:t xml:space="preserve">At that price, the shares trade at approximately:</w:t>
      </w:r>
    </w:p>
    <w:p>
      <w:pPr>
        <w:pStyle w:val="Compact"/>
        <w:numPr>
          <w:ilvl w:val="0"/>
          <w:numId w:val="1001"/>
        </w:numPr>
      </w:pPr>
      <w:r>
        <w:rPr>
          <w:b/>
          <w:bCs/>
        </w:rPr>
        <w:t xml:space="preserve">18.5x</w:t>
      </w:r>
      <w:r>
        <w:t xml:space="preserve"> </w:t>
      </w:r>
      <w:r>
        <w:t xml:space="preserve">the midpoint of 2026 adjusted EPS guidance</w:t>
      </w:r>
    </w:p>
    <w:p>
      <w:pPr>
        <w:pStyle w:val="Compact"/>
        <w:numPr>
          <w:ilvl w:val="0"/>
          <w:numId w:val="1001"/>
        </w:numPr>
      </w:pPr>
      <w:r>
        <w:t xml:space="preserve">An annualized dividend yield of approximately</w:t>
      </w:r>
      <w:r>
        <w:t xml:space="preserve"> </w:t>
      </w:r>
      <w:r>
        <w:rPr>
          <w:b/>
          <w:bCs/>
        </w:rPr>
        <w:t xml:space="preserve">2%</w:t>
      </w:r>
    </w:p>
    <w:p>
      <w:pPr>
        <w:pStyle w:val="FirstParagraph"/>
      </w:pPr>
      <w:r>
        <w:t xml:space="preserve">That is not an especially low multiple for a mature industrial conglomerate. The valuation reflects growing confidence that CEO Bill Brown’s execution program can deliver a structurally better company: higher organic growth, better productivity, a leaner footprint and more disciplined capital allocation.</w:t>
      </w:r>
    </w:p>
    <w:p>
      <w:pPr>
        <w:pStyle w:val="BodyText"/>
      </w:pPr>
      <w:r>
        <w:t xml:space="preserve">Consequently, the stock may require more than a routine beat. A favorable reaction likely needs some combination of:</w:t>
      </w:r>
    </w:p>
    <w:p>
      <w:pPr>
        <w:pStyle w:val="Compact"/>
        <w:numPr>
          <w:ilvl w:val="0"/>
          <w:numId w:val="1002"/>
        </w:numPr>
      </w:pPr>
      <w:r>
        <w:t xml:space="preserve">Organic growth clearly above 3%</w:t>
      </w:r>
    </w:p>
    <w:p>
      <w:pPr>
        <w:pStyle w:val="Compact"/>
        <w:numPr>
          <w:ilvl w:val="0"/>
          <w:numId w:val="1002"/>
        </w:numPr>
      </w:pPr>
      <w:r>
        <w:t xml:space="preserve">Confirmation that order momentum continued after the Q1 pre-buy period</w:t>
      </w:r>
    </w:p>
    <w:p>
      <w:pPr>
        <w:pStyle w:val="Compact"/>
        <w:numPr>
          <w:ilvl w:val="0"/>
          <w:numId w:val="1002"/>
        </w:numPr>
      </w:pPr>
      <w:r>
        <w:t xml:space="preserve">Margin performance above the approximately 24.5% framework</w:t>
      </w:r>
    </w:p>
    <w:p>
      <w:pPr>
        <w:pStyle w:val="Compact"/>
        <w:numPr>
          <w:ilvl w:val="0"/>
          <w:numId w:val="1002"/>
        </w:numPr>
      </w:pPr>
      <w:r>
        <w:t xml:space="preserve">Higher full-year EPS guidance or removal of management’s contingency</w:t>
      </w:r>
    </w:p>
    <w:p>
      <w:pPr>
        <w:pStyle w:val="Compact"/>
        <w:numPr>
          <w:ilvl w:val="0"/>
          <w:numId w:val="1002"/>
        </w:numPr>
      </w:pPr>
      <w:r>
        <w:t xml:space="preserve">Evidence that Transportation &amp; Electronics is becoming a growth engine</w:t>
      </w:r>
    </w:p>
    <w:p>
      <w:r>
        <w:pict>
          <v:rect style="width:0;height:1.5pt" o:hralign="center" o:hrstd="t" o:hr="t"/>
        </w:pict>
      </w:r>
    </w:p>
    <w:bookmarkEnd w:id="10"/>
    <w:bookmarkStart w:id="12" w:name="Xad12258d04efc579d4a893c0a65aa5303a9895e"/>
    <w:p>
      <w:pPr>
        <w:pStyle w:val="Heading2"/>
      </w:pPr>
      <w:r>
        <w:t xml:space="preserve">The most important issue: Was the Q1 order surge real?</w:t>
      </w:r>
    </w:p>
    <w:p>
      <w:pPr>
        <w:pStyle w:val="FirstParagraph"/>
      </w:pPr>
      <w:r>
        <w:t xml:space="preserve">In Q1, 3M reported:</w:t>
      </w:r>
    </w:p>
    <w:p>
      <w:pPr>
        <w:pStyle w:val="Compact"/>
        <w:numPr>
          <w:ilvl w:val="0"/>
          <w:numId w:val="1003"/>
        </w:numPr>
      </w:pPr>
      <w:r>
        <w:t xml:space="preserve">Orders up slightly more than 10%</w:t>
      </w:r>
    </w:p>
    <w:p>
      <w:pPr>
        <w:pStyle w:val="Compact"/>
        <w:numPr>
          <w:ilvl w:val="0"/>
          <w:numId w:val="1003"/>
        </w:numPr>
      </w:pPr>
      <w:r>
        <w:t xml:space="preserve">Backlog up approximately 20% year over year</w:t>
      </w:r>
    </w:p>
    <w:p>
      <w:pPr>
        <w:pStyle w:val="Compact"/>
        <w:numPr>
          <w:ilvl w:val="0"/>
          <w:numId w:val="1003"/>
        </w:numPr>
      </w:pPr>
      <w:r>
        <w:t xml:space="preserve">Backlog up approximately 35% sequentially</w:t>
      </w:r>
    </w:p>
    <w:p>
      <w:pPr>
        <w:pStyle w:val="Compact"/>
        <w:numPr>
          <w:ilvl w:val="0"/>
          <w:numId w:val="1003"/>
        </w:numPr>
      </w:pPr>
      <w:r>
        <w:t xml:space="preserve">Approximately 400–500 basis points of additional quarter-opening revenue coverage</w:t>
      </w:r>
    </w:p>
    <w:p>
      <w:pPr>
        <w:pStyle w:val="FirstParagraph"/>
      </w:pPr>
      <w:r>
        <w:t xml:space="preserve">Management attributed the strength to new products, commercial execution, cross-selling, semiconductors, data centers, aerospace and some pre-buying ahead of price increases.</w:t>
      </w:r>
    </w:p>
    <w:p>
      <w:pPr>
        <w:pStyle w:val="BodyText"/>
      </w:pPr>
      <w:r>
        <w:t xml:space="preserve">The distinction matters. If the order surge primarily reflected customers buying early before May price increases, Q2 revenue could still be solid while incoming orders weaken. That would raise questions about the second half.</w:t>
      </w:r>
    </w:p>
    <w:bookmarkStart w:id="11" w:name="what-investors-should-look-for"/>
    <w:p>
      <w:pPr>
        <w:pStyle w:val="Heading3"/>
      </w:pPr>
      <w:r>
        <w:t xml:space="preserve">What investors should look for</w:t>
      </w:r>
    </w:p>
    <w:p>
      <w:pPr>
        <w:pStyle w:val="Compact"/>
        <w:numPr>
          <w:ilvl w:val="0"/>
          <w:numId w:val="1004"/>
        </w:numPr>
      </w:pPr>
      <w:r>
        <w:t xml:space="preserve">Did orders remain positive after April?</w:t>
      </w:r>
    </w:p>
    <w:p>
      <w:pPr>
        <w:pStyle w:val="Compact"/>
        <w:numPr>
          <w:ilvl w:val="0"/>
          <w:numId w:val="1004"/>
        </w:numPr>
      </w:pPr>
      <w:r>
        <w:t xml:space="preserve">How much backlog converted into revenue?</w:t>
      </w:r>
    </w:p>
    <w:p>
      <w:pPr>
        <w:pStyle w:val="Compact"/>
        <w:numPr>
          <w:ilvl w:val="0"/>
          <w:numId w:val="1004"/>
        </w:numPr>
      </w:pPr>
      <w:r>
        <w:t xml:space="preserve">Did backlog normalize sharply?</w:t>
      </w:r>
    </w:p>
    <w:p>
      <w:pPr>
        <w:pStyle w:val="Compact"/>
        <w:numPr>
          <w:ilvl w:val="0"/>
          <w:numId w:val="1004"/>
        </w:numPr>
      </w:pPr>
      <w:r>
        <w:t xml:space="preserve">Is the book-to-bill trend consistent with management’s forecast for second-half growth above first-half growth?</w:t>
      </w:r>
    </w:p>
    <w:p>
      <w:pPr>
        <w:pStyle w:val="Compact"/>
        <w:numPr>
          <w:ilvl w:val="0"/>
          <w:numId w:val="1004"/>
        </w:numPr>
      </w:pPr>
      <w:r>
        <w:t xml:space="preserve">Is management still targeting an organic growth exit rate above 3.5%?</w:t>
      </w:r>
    </w:p>
    <w:p>
      <w:pPr>
        <w:pStyle w:val="FirstParagraph"/>
      </w:pPr>
      <w:r>
        <w:t xml:space="preserve">A good Q2 should demonstrate that commercial excellence and new-product activity—not timing alone—are driving the acceleration.</w:t>
      </w:r>
    </w:p>
    <w:p>
      <w:r>
        <w:pict>
          <v:rect style="width:0;height:1.5pt" o:hralign="center" o:hrstd="t" o:hr="t"/>
        </w:pict>
      </w:r>
    </w:p>
    <w:bookmarkEnd w:id="11"/>
    <w:bookmarkEnd w:id="12"/>
    <w:bookmarkStart w:id="17" w:name="segment-expectations"/>
    <w:p>
      <w:pPr>
        <w:pStyle w:val="Heading2"/>
      </w:pPr>
      <w:r>
        <w:t xml:space="preserve">Segment expectations</w:t>
      </w:r>
    </w:p>
    <w:bookmarkStart w:id="13" w:name="Xf14938aa684298bdc56b36cdddb59fde50fc095"/>
    <w:p>
      <w:pPr>
        <w:pStyle w:val="Heading3"/>
      </w:pPr>
      <w:r>
        <w:t xml:space="preserve">1. Safety &amp; Industrial: The execution benchmark</w:t>
      </w:r>
    </w:p>
    <w:p>
      <w:pPr>
        <w:pStyle w:val="FirstParagraph"/>
      </w:pPr>
      <w:r>
        <w:t xml:space="preserve">Safety &amp; Industrial was 3M’s best-performing segment in Q1:</w:t>
      </w:r>
    </w:p>
    <w:p>
      <w:pPr>
        <w:pStyle w:val="Compact"/>
        <w:numPr>
          <w:ilvl w:val="0"/>
          <w:numId w:val="1005"/>
        </w:numPr>
      </w:pPr>
      <w:r>
        <w:t xml:space="preserve">Organic growth:</w:t>
      </w:r>
      <w:r>
        <w:t xml:space="preserve"> </w:t>
      </w:r>
      <w:r>
        <w:rPr>
          <w:b/>
          <w:bCs/>
        </w:rPr>
        <w:t xml:space="preserve">3.2%</w:t>
      </w:r>
    </w:p>
    <w:p>
      <w:pPr>
        <w:pStyle w:val="Compact"/>
        <w:numPr>
          <w:ilvl w:val="0"/>
          <w:numId w:val="1005"/>
        </w:numPr>
      </w:pPr>
      <w:r>
        <w:t xml:space="preserve">Segment margin:</w:t>
      </w:r>
      <w:r>
        <w:t xml:space="preserve"> </w:t>
      </w:r>
      <w:r>
        <w:rPr>
          <w:b/>
          <w:bCs/>
        </w:rPr>
        <w:t xml:space="preserve">26.5%</w:t>
      </w:r>
    </w:p>
    <w:p>
      <w:pPr>
        <w:pStyle w:val="Compact"/>
        <w:numPr>
          <w:ilvl w:val="0"/>
          <w:numId w:val="1005"/>
        </w:numPr>
      </w:pPr>
      <w:r>
        <w:t xml:space="preserve">Segment operating income growth:</w:t>
      </w:r>
      <w:r>
        <w:t xml:space="preserve"> </w:t>
      </w:r>
      <w:r>
        <w:rPr>
          <w:b/>
          <w:bCs/>
        </w:rPr>
        <w:t xml:space="preserve">11%</w:t>
      </w:r>
    </w:p>
    <w:p>
      <w:pPr>
        <w:pStyle w:val="FirstParagraph"/>
      </w:pPr>
      <w:r>
        <w:t xml:space="preserve">Growth was broad across electrical markets, adhesives and tapes, abrasives and personal safety. Roofing granules remained weak.</w:t>
      </w:r>
    </w:p>
    <w:p>
      <w:pPr>
        <w:pStyle w:val="BodyText"/>
      </w:pPr>
      <w:r>
        <w:t xml:space="preserve">Management said Q2 growth should exceed Q1’s 3.2%. That makes Safety &amp; Industrial the least controversial part of the quarter, but it still needs to deliver because it carries the company’s margin profile.</w:t>
      </w:r>
    </w:p>
    <w:p>
      <w:pPr>
        <w:pStyle w:val="BodyText"/>
      </w:pPr>
      <w:r>
        <w:rPr>
          <w:b/>
          <w:bCs/>
        </w:rPr>
        <w:t xml:space="preserve">Positive outcome:</w:t>
      </w:r>
      <w:r>
        <w:t xml:space="preserve"> </w:t>
      </w:r>
      <w:r>
        <w:t xml:space="preserve">Mid-single-digit organic growth with margins holding around the mid-20s despite tariffs, growth investments and PFAS-related stranded costs.</w:t>
      </w:r>
    </w:p>
    <w:p>
      <w:pPr>
        <w:pStyle w:val="BodyText"/>
      </w:pPr>
      <w:r>
        <w:rPr>
          <w:b/>
          <w:bCs/>
        </w:rPr>
        <w:t xml:space="preserve">Risk:</w:t>
      </w:r>
      <w:r>
        <w:t xml:space="preserve"> </w:t>
      </w:r>
      <w:r>
        <w:t xml:space="preserve">Roofing and construction weakness broadens, or the segment’s strong margin begins to absorb greater price/cost pressure.</w:t>
      </w:r>
    </w:p>
    <w:p>
      <w:r>
        <w:pict>
          <v:rect style="width:0;height:1.5pt" o:hralign="center" o:hrstd="t" o:hr="t"/>
        </w:pict>
      </w:r>
    </w:p>
    <w:bookmarkEnd w:id="13"/>
    <w:bookmarkStart w:id="14" w:name="Xe6ece6278759217f2bcb727478894c93c8d097c"/>
    <w:p>
      <w:pPr>
        <w:pStyle w:val="Heading3"/>
      </w:pPr>
      <w:r>
        <w:t xml:space="preserve">2. Transportation &amp; Electronics: The swing factor</w:t>
      </w:r>
    </w:p>
    <w:p>
      <w:pPr>
        <w:pStyle w:val="FirstParagraph"/>
      </w:pPr>
      <w:r>
        <w:t xml:space="preserve">Transportation &amp; Electronics was approximately flat organically in Q1, but its internal performance was sharply divided:</w:t>
      </w:r>
    </w:p>
    <w:p>
      <w:pPr>
        <w:pStyle w:val="Compact"/>
        <w:numPr>
          <w:ilvl w:val="0"/>
          <w:numId w:val="1006"/>
        </w:numPr>
      </w:pPr>
      <w:r>
        <w:t xml:space="preserve">Strong: semiconductors, data centers, aerospace and commercial branding</w:t>
      </w:r>
    </w:p>
    <w:p>
      <w:pPr>
        <w:pStyle w:val="Compact"/>
        <w:numPr>
          <w:ilvl w:val="0"/>
          <w:numId w:val="1006"/>
        </w:numPr>
      </w:pPr>
      <w:r>
        <w:t xml:space="preserve">Weak: automotive and consumer electronics</w:t>
      </w:r>
    </w:p>
    <w:p>
      <w:pPr>
        <w:pStyle w:val="FirstParagraph"/>
      </w:pPr>
      <w:r>
        <w:t xml:space="preserve">Orders were up low teens, while backlog grew approximately 30%. Management guided to low-single-digit Q2 organic growth.</w:t>
      </w:r>
    </w:p>
    <w:p>
      <w:pPr>
        <w:pStyle w:val="BodyText"/>
      </w:pPr>
      <w:r>
        <w:t xml:space="preserve">The most important growth asset is 3M’s data-center and associated power-utility portfolio, which management sized at approximately</w:t>
      </w:r>
      <w:r>
        <w:t xml:space="preserve"> </w:t>
      </w:r>
      <w:r>
        <w:rPr>
          <w:b/>
          <w:bCs/>
        </w:rPr>
        <w:t xml:space="preserve">$600 million of revenue</w:t>
      </w:r>
      <w:r>
        <w:t xml:space="preserve">. Expanded Beam Optics and other data-transmission products are receiving hyperscaler interest, and 3M was investing to more than double relevant capacity.</w:t>
      </w:r>
    </w:p>
    <w:bookmarkEnd w:id="14"/>
    <w:bookmarkStart w:id="15" w:name="questions-for-the-call"/>
    <w:p>
      <w:pPr>
        <w:pStyle w:val="Heading3"/>
      </w:pPr>
      <w:r>
        <w:t xml:space="preserve">Questions for the call</w:t>
      </w:r>
    </w:p>
    <w:p>
      <w:pPr>
        <w:pStyle w:val="Compact"/>
        <w:numPr>
          <w:ilvl w:val="0"/>
          <w:numId w:val="1007"/>
        </w:numPr>
      </w:pPr>
      <w:r>
        <w:t xml:space="preserve">Did large data-center orders begin converting into sales?</w:t>
      </w:r>
    </w:p>
    <w:p>
      <w:pPr>
        <w:pStyle w:val="Compact"/>
        <w:numPr>
          <w:ilvl w:val="0"/>
          <w:numId w:val="1007"/>
        </w:numPr>
      </w:pPr>
      <w:r>
        <w:t xml:space="preserve">Has the second hyperscaler validation progressed?</w:t>
      </w:r>
    </w:p>
    <w:p>
      <w:pPr>
        <w:pStyle w:val="Compact"/>
        <w:numPr>
          <w:ilvl w:val="0"/>
          <w:numId w:val="1007"/>
        </w:numPr>
      </w:pPr>
      <w:r>
        <w:t xml:space="preserve">Is capacity expansion on schedule?</w:t>
      </w:r>
    </w:p>
    <w:p>
      <w:pPr>
        <w:pStyle w:val="Compact"/>
        <w:numPr>
          <w:ilvl w:val="0"/>
          <w:numId w:val="1007"/>
        </w:numPr>
      </w:pPr>
      <w:r>
        <w:t xml:space="preserve">Are semiconductor gains sufficient to offset consumer-electronics weakness?</w:t>
      </w:r>
    </w:p>
    <w:p>
      <w:pPr>
        <w:pStyle w:val="Compact"/>
        <w:numPr>
          <w:ilvl w:val="0"/>
          <w:numId w:val="1007"/>
        </w:numPr>
      </w:pPr>
      <w:r>
        <w:t xml:space="preserve">Has automotive demand stabilized?</w:t>
      </w:r>
    </w:p>
    <w:p>
      <w:pPr>
        <w:pStyle w:val="Compact"/>
        <w:numPr>
          <w:ilvl w:val="0"/>
          <w:numId w:val="1007"/>
        </w:numPr>
      </w:pPr>
      <w:r>
        <w:t xml:space="preserve">How much of the segment’s improvement is market recovery versus share gain?</w:t>
      </w:r>
    </w:p>
    <w:p>
      <w:pPr>
        <w:pStyle w:val="FirstParagraph"/>
      </w:pPr>
      <w:r>
        <w:t xml:space="preserve">A convincing acceleration here would support the argument that 3M can grow faster than industrial production over time.</w:t>
      </w:r>
    </w:p>
    <w:p>
      <w:r>
        <w:pict>
          <v:rect style="width:0;height:1.5pt" o:hralign="center" o:hrstd="t" o:hr="t"/>
        </w:pict>
      </w:r>
    </w:p>
    <w:bookmarkEnd w:id="15"/>
    <w:bookmarkStart w:id="16" w:name="Xda98ca06174f7d63626b78cd500247e0e047fbb"/>
    <w:p>
      <w:pPr>
        <w:pStyle w:val="Heading3"/>
      </w:pPr>
      <w:r>
        <w:t xml:space="preserve">3. Consumer: Stabilization is enough—for now</w:t>
      </w:r>
    </w:p>
    <w:p>
      <w:pPr>
        <w:pStyle w:val="FirstParagraph"/>
      </w:pPr>
      <w:r>
        <w:t xml:space="preserve">Consumer organic sales declined</w:t>
      </w:r>
      <w:r>
        <w:t xml:space="preserve"> </w:t>
      </w:r>
      <w:r>
        <w:rPr>
          <w:b/>
          <w:bCs/>
        </w:rPr>
        <w:t xml:space="preserve">1.3%</w:t>
      </w:r>
      <w:r>
        <w:t xml:space="preserve"> </w:t>
      </w:r>
      <w:r>
        <w:t xml:space="preserve">in Q1, reflecting weak U.S. discretionary spending. Management nevertheless pointed to improving point-of-sale data and forecast Q2 performance of flat to positive.</w:t>
      </w:r>
    </w:p>
    <w:p>
      <w:pPr>
        <w:pStyle w:val="BodyText"/>
      </w:pPr>
      <w:r>
        <w:t xml:space="preserve">Because roughly 70% of the Consumer segment is tied to the U.S., it remains particularly exposed to household spending and retailer behavior.</w:t>
      </w:r>
    </w:p>
    <w:p>
      <w:pPr>
        <w:pStyle w:val="BodyText"/>
      </w:pPr>
      <w:r>
        <w:t xml:space="preserve">Investors do not need rapid growth from Consumer this quarter, but another meaningful decline would undermine the expected companywide acceleration.</w:t>
      </w:r>
    </w:p>
    <w:p>
      <w:pPr>
        <w:pStyle w:val="BodyText"/>
      </w:pPr>
      <w:r>
        <w:rPr>
          <w:b/>
          <w:bCs/>
        </w:rPr>
        <w:t xml:space="preserve">What would count as a win:</w:t>
      </w:r>
    </w:p>
    <w:p>
      <w:pPr>
        <w:pStyle w:val="Compact"/>
        <w:numPr>
          <w:ilvl w:val="0"/>
          <w:numId w:val="1008"/>
        </w:numPr>
      </w:pPr>
      <w:r>
        <w:t xml:space="preserve">Organic growth at or modestly above zero</w:t>
      </w:r>
    </w:p>
    <w:p>
      <w:pPr>
        <w:pStyle w:val="Compact"/>
        <w:numPr>
          <w:ilvl w:val="0"/>
          <w:numId w:val="1008"/>
        </w:numPr>
      </w:pPr>
      <w:r>
        <w:t xml:space="preserve">Stable retailer inventories</w:t>
      </w:r>
    </w:p>
    <w:p>
      <w:pPr>
        <w:pStyle w:val="Compact"/>
        <w:numPr>
          <w:ilvl w:val="0"/>
          <w:numId w:val="1008"/>
        </w:numPr>
      </w:pPr>
      <w:r>
        <w:t xml:space="preserve">Continued strength in products supported by new launches</w:t>
      </w:r>
    </w:p>
    <w:p>
      <w:pPr>
        <w:pStyle w:val="Compact"/>
        <w:numPr>
          <w:ilvl w:val="0"/>
          <w:numId w:val="1008"/>
        </w:numPr>
      </w:pPr>
      <w:r>
        <w:t xml:space="preserve">No meaningful increase in promotions or discounting</w:t>
      </w:r>
    </w:p>
    <w:p>
      <w:pPr>
        <w:pStyle w:val="Compact"/>
        <w:numPr>
          <w:ilvl w:val="0"/>
          <w:numId w:val="1008"/>
        </w:numPr>
      </w:pPr>
      <w:r>
        <w:t xml:space="preserve">Margin stabilization after Q1’s decline to 19.2%</w:t>
      </w:r>
    </w:p>
    <w:p>
      <w:r>
        <w:pict>
          <v:rect style="width:0;height:1.5pt" o:hralign="center" o:hrstd="t" o:hr="t"/>
        </w:pict>
      </w:r>
    </w:p>
    <w:bookmarkEnd w:id="16"/>
    <w:bookmarkEnd w:id="17"/>
    <w:bookmarkStart w:id="20" w:name="Xcce0a6c2ef821be6e44d163f32d234bf3d57d8f"/>
    <w:p>
      <w:pPr>
        <w:pStyle w:val="Heading2"/>
      </w:pPr>
      <w:r>
        <w:t xml:space="preserve">Margin execution remains the strongest part of the story</w:t>
      </w:r>
    </w:p>
    <w:p>
      <w:pPr>
        <w:pStyle w:val="FirstParagraph"/>
      </w:pPr>
      <w:r>
        <w:t xml:space="preserve">Q1 adjusted operating margin expanded 30 basis points to</w:t>
      </w:r>
      <w:r>
        <w:t xml:space="preserve"> </w:t>
      </w:r>
      <w:r>
        <w:rPr>
          <w:b/>
          <w:bCs/>
        </w:rPr>
        <w:t xml:space="preserve">23.8%</w:t>
      </w:r>
      <w:r>
        <w:t xml:space="preserve">, despite approximately $145 million of combined tariff, stranded-cost and investment pressure. The three operating segments collectively expanded margins by about 60 basis points.</w:t>
      </w:r>
    </w:p>
    <w:p>
      <w:pPr>
        <w:pStyle w:val="BodyText"/>
      </w:pPr>
      <w:r>
        <w:t xml:space="preserve">For Q2, management forecast approximately</w:t>
      </w:r>
      <w:r>
        <w:t xml:space="preserve"> </w:t>
      </w:r>
      <w:r>
        <w:rPr>
          <w:b/>
          <w:bCs/>
        </w:rPr>
        <w:t xml:space="preserve">24.5%</w:t>
      </w:r>
      <w:r>
        <w:t xml:space="preserve">, while consensus is around</w:t>
      </w:r>
      <w:r>
        <w:t xml:space="preserve"> </w:t>
      </w:r>
      <w:r>
        <w:rPr>
          <w:b/>
          <w:bCs/>
        </w:rPr>
        <w:t xml:space="preserve">24.65%</w:t>
      </w:r>
      <w:r>
        <w:t xml:space="preserve">.</w:t>
      </w:r>
    </w:p>
    <w:p>
      <w:pPr>
        <w:pStyle w:val="BodyText"/>
      </w:pPr>
      <w:r>
        <w:t xml:space="preserve">Key drivers include:</w:t>
      </w:r>
    </w:p>
    <w:bookmarkStart w:id="18" w:name="tailwinds"/>
    <w:p>
      <w:pPr>
        <w:pStyle w:val="Heading3"/>
      </w:pPr>
      <w:r>
        <w:t xml:space="preserve">Tailwinds</w:t>
      </w:r>
    </w:p>
    <w:p>
      <w:pPr>
        <w:pStyle w:val="Compact"/>
        <w:numPr>
          <w:ilvl w:val="0"/>
          <w:numId w:val="1009"/>
        </w:numPr>
      </w:pPr>
      <w:r>
        <w:t xml:space="preserve">Higher volume and fixed-cost absorption</w:t>
      </w:r>
    </w:p>
    <w:p>
      <w:pPr>
        <w:pStyle w:val="Compact"/>
        <w:numPr>
          <w:ilvl w:val="0"/>
          <w:numId w:val="1009"/>
        </w:numPr>
      </w:pPr>
      <w:r>
        <w:t xml:space="preserve">Manufacturing and supply-chain productivity</w:t>
      </w:r>
    </w:p>
    <w:p>
      <w:pPr>
        <w:pStyle w:val="Compact"/>
        <w:numPr>
          <w:ilvl w:val="0"/>
          <w:numId w:val="1009"/>
        </w:numPr>
      </w:pPr>
      <w:r>
        <w:t xml:space="preserve">Lower cost of poor quality</w:t>
      </w:r>
    </w:p>
    <w:p>
      <w:pPr>
        <w:pStyle w:val="Compact"/>
        <w:numPr>
          <w:ilvl w:val="0"/>
          <w:numId w:val="1009"/>
        </w:numPr>
      </w:pPr>
      <w:r>
        <w:t xml:space="preserve">Reduced inventory and lead times</w:t>
      </w:r>
    </w:p>
    <w:p>
      <w:pPr>
        <w:pStyle w:val="Compact"/>
        <w:numPr>
          <w:ilvl w:val="0"/>
          <w:numId w:val="1009"/>
        </w:numPr>
      </w:pPr>
      <w:r>
        <w:t xml:space="preserve">G&amp;A discipline</w:t>
      </w:r>
    </w:p>
    <w:p>
      <w:pPr>
        <w:pStyle w:val="Compact"/>
        <w:numPr>
          <w:ilvl w:val="0"/>
          <w:numId w:val="1009"/>
        </w:numPr>
      </w:pPr>
      <w:r>
        <w:t xml:space="preserve">Share-count reduction</w:t>
      </w:r>
    </w:p>
    <w:bookmarkEnd w:id="18"/>
    <w:bookmarkStart w:id="19" w:name="headwinds"/>
    <w:p>
      <w:pPr>
        <w:pStyle w:val="Heading3"/>
      </w:pPr>
      <w:r>
        <w:t xml:space="preserve">Headwinds</w:t>
      </w:r>
    </w:p>
    <w:p>
      <w:pPr>
        <w:pStyle w:val="Compact"/>
        <w:numPr>
          <w:ilvl w:val="0"/>
          <w:numId w:val="1010"/>
        </w:numPr>
      </w:pPr>
      <w:r>
        <w:t xml:space="preserve">Tariffs</w:t>
      </w:r>
    </w:p>
    <w:p>
      <w:pPr>
        <w:pStyle w:val="Compact"/>
        <w:numPr>
          <w:ilvl w:val="0"/>
          <w:numId w:val="1010"/>
        </w:numPr>
      </w:pPr>
      <w:r>
        <w:t xml:space="preserve">Raw-material inflation</w:t>
      </w:r>
    </w:p>
    <w:p>
      <w:pPr>
        <w:pStyle w:val="Compact"/>
        <w:numPr>
          <w:ilvl w:val="0"/>
          <w:numId w:val="1010"/>
        </w:numPr>
      </w:pPr>
      <w:r>
        <w:t xml:space="preserve">PFAS-exit stranded costs</w:t>
      </w:r>
    </w:p>
    <w:p>
      <w:pPr>
        <w:pStyle w:val="Compact"/>
        <w:numPr>
          <w:ilvl w:val="0"/>
          <w:numId w:val="1010"/>
        </w:numPr>
      </w:pPr>
      <w:r>
        <w:t xml:space="preserve">Lower Solventum transition-service income</w:t>
      </w:r>
    </w:p>
    <w:p>
      <w:pPr>
        <w:pStyle w:val="Compact"/>
        <w:numPr>
          <w:ilvl w:val="0"/>
          <w:numId w:val="1010"/>
        </w:numPr>
      </w:pPr>
      <w:r>
        <w:t xml:space="preserve">Transformation and growth investments</w:t>
      </w:r>
    </w:p>
    <w:p>
      <w:pPr>
        <w:pStyle w:val="Compact"/>
        <w:numPr>
          <w:ilvl w:val="0"/>
          <w:numId w:val="1010"/>
        </w:numPr>
      </w:pPr>
      <w:r>
        <w:t xml:space="preserve">Potential Consumer pricing pressure</w:t>
      </w:r>
    </w:p>
    <w:p>
      <w:pPr>
        <w:pStyle w:val="FirstParagraph"/>
      </w:pPr>
      <w:r>
        <w:t xml:space="preserve">3M estimated roughly</w:t>
      </w:r>
      <w:r>
        <w:t xml:space="preserve"> </w:t>
      </w:r>
      <w:r>
        <w:rPr>
          <w:b/>
          <w:bCs/>
        </w:rPr>
        <w:t xml:space="preserve">$125 million</w:t>
      </w:r>
      <w:r>
        <w:t xml:space="preserve"> </w:t>
      </w:r>
      <w:r>
        <w:t xml:space="preserve">of higher oil-related input costs and implemented additional pricing intended to offset them. Management expected total 2026 price contribution of approximately 1.3%, including about 50 basis points related to oil-driven actions.</w:t>
      </w:r>
    </w:p>
    <w:p>
      <w:pPr>
        <w:pStyle w:val="BodyText"/>
      </w:pPr>
      <w:r>
        <w:t xml:space="preserve">The key question is whether pricing is sticking without damaging volume. A quarter with strong price but weak volume would be lower quality than one driven by underlying demand.</w:t>
      </w:r>
    </w:p>
    <w:p>
      <w:r>
        <w:pict>
          <v:rect style="width:0;height:1.5pt" o:hralign="center" o:hrstd="t" o:hr="t"/>
        </w:pict>
      </w:r>
    </w:p>
    <w:bookmarkEnd w:id="19"/>
    <w:bookmarkEnd w:id="20"/>
    <w:bookmarkStart w:id="22" w:name="X40c565eb849fe5d1632c44713de92a76b544a1f"/>
    <w:p>
      <w:pPr>
        <w:pStyle w:val="Heading2"/>
      </w:pPr>
      <w:r>
        <w:t xml:space="preserve">Full-year guidance: A raise is possible, but not guaranteed</w:t>
      </w:r>
    </w:p>
    <w:p>
      <w:pPr>
        <w:pStyle w:val="FirstParagraph"/>
      </w:pPr>
      <w:r>
        <w:t xml:space="preserve">Current 2026 guidance is:</w:t>
      </w:r>
    </w:p>
    <w:p>
      <w:pPr>
        <w:pStyle w:val="Compact"/>
        <w:numPr>
          <w:ilvl w:val="0"/>
          <w:numId w:val="1011"/>
        </w:numPr>
      </w:pPr>
      <w:r>
        <w:t xml:space="preserve">Adjusted total sales growth: approximately</w:t>
      </w:r>
      <w:r>
        <w:t xml:space="preserve"> </w:t>
      </w:r>
      <w:r>
        <w:rPr>
          <w:b/>
          <w:bCs/>
        </w:rPr>
        <w:t xml:space="preserve">4%</w:t>
      </w:r>
    </w:p>
    <w:p>
      <w:pPr>
        <w:pStyle w:val="Compact"/>
        <w:numPr>
          <w:ilvl w:val="0"/>
          <w:numId w:val="1011"/>
        </w:numPr>
      </w:pPr>
      <w:r>
        <w:t xml:space="preserve">Adjusted organic growth: approximately</w:t>
      </w:r>
      <w:r>
        <w:t xml:space="preserve"> </w:t>
      </w:r>
      <w:r>
        <w:rPr>
          <w:b/>
          <w:bCs/>
        </w:rPr>
        <w:t xml:space="preserve">3%</w:t>
      </w:r>
    </w:p>
    <w:p>
      <w:pPr>
        <w:pStyle w:val="Compact"/>
        <w:numPr>
          <w:ilvl w:val="0"/>
          <w:numId w:val="1011"/>
        </w:numPr>
      </w:pPr>
      <w:r>
        <w:t xml:space="preserve">Adjusted operating-margin expansion:</w:t>
      </w:r>
      <w:r>
        <w:t xml:space="preserve"> </w:t>
      </w:r>
      <w:r>
        <w:rPr>
          <w:b/>
          <w:bCs/>
        </w:rPr>
        <w:t xml:space="preserve">70–80 basis points</w:t>
      </w:r>
    </w:p>
    <w:p>
      <w:pPr>
        <w:pStyle w:val="Compact"/>
        <w:numPr>
          <w:ilvl w:val="0"/>
          <w:numId w:val="1011"/>
        </w:numPr>
      </w:pPr>
      <w:r>
        <w:t xml:space="preserve">Adjusted EPS:</w:t>
      </w:r>
      <w:r>
        <w:t xml:space="preserve"> </w:t>
      </w:r>
      <m:oMath>
        <m:r>
          <m:t>8.50</m:t>
        </m:r>
        <m:r>
          <m:rPr>
            <m:sty m:val="p"/>
          </m:rPr>
          <m:t>–</m:t>
        </m:r>
      </m:oMath>
      <w:r>
        <w:rPr>
          <w:b/>
          <w:bCs/>
        </w:rPr>
        <w:t xml:space="preserve">8.70</w:t>
      </w:r>
    </w:p>
    <w:p>
      <w:pPr>
        <w:pStyle w:val="Compact"/>
        <w:numPr>
          <w:ilvl w:val="0"/>
          <w:numId w:val="1011"/>
        </w:numPr>
      </w:pPr>
      <w:r>
        <w:t xml:space="preserve">Adjusted operating cash flow:</w:t>
      </w:r>
      <w:r>
        <w:t xml:space="preserve"> </w:t>
      </w:r>
      <m:oMath>
        <m:r>
          <m:t>5.6</m:t>
        </m:r>
        <m:r>
          <m:rPr>
            <m:sty m:val="p"/>
          </m:rPr>
          <m:t>–</m:t>
        </m:r>
      </m:oMath>
      <w:r>
        <w:rPr>
          <w:b/>
          <w:bCs/>
        </w:rPr>
        <w:t xml:space="preserve">5.8 billion</w:t>
      </w:r>
    </w:p>
    <w:p>
      <w:pPr>
        <w:pStyle w:val="Compact"/>
        <w:numPr>
          <w:ilvl w:val="0"/>
          <w:numId w:val="1011"/>
        </w:numPr>
      </w:pPr>
      <w:r>
        <w:t xml:space="preserve">Adjusted free-cash-flow conversion:</w:t>
      </w:r>
      <w:r>
        <w:t xml:space="preserve"> </w:t>
      </w:r>
      <w:r>
        <w:rPr>
          <w:b/>
          <w:bCs/>
        </w:rPr>
        <w:t xml:space="preserve">above 100%</w:t>
      </w:r>
    </w:p>
    <w:p>
      <w:pPr>
        <w:pStyle w:val="FirstParagraph"/>
      </w:pPr>
      <w:r>
        <w:t xml:space="preserve">At the</w:t>
      </w:r>
      <w:r>
        <w:t xml:space="preserve"> </w:t>
      </w:r>
      <m:oMath>
        <m:r>
          <m:t>2.24</m:t>
        </m:r>
        <m:r>
          <m:t>Q</m:t>
        </m:r>
        <m:r>
          <m:t>2</m:t>
        </m:r>
        <m:r>
          <m:t>c</m:t>
        </m:r>
        <m:r>
          <m:t>o</m:t>
        </m:r>
        <m:r>
          <m:t>n</m:t>
        </m:r>
        <m:r>
          <m:t>s</m:t>
        </m:r>
        <m:r>
          <m:t>e</m:t>
        </m:r>
        <m:r>
          <m:t>n</m:t>
        </m:r>
        <m:r>
          <m:t>s</m:t>
        </m:r>
        <m:r>
          <m:t>u</m:t>
        </m:r>
        <m:r>
          <m:t>s</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t</m:t>
        </m:r>
        <m:r>
          <m:t>o</m:t>
        </m:r>
        <m:r>
          <m:t>t</m:t>
        </m:r>
        <m:r>
          <m:t>a</m:t>
        </m:r>
        <m:r>
          <m:t>l</m:t>
        </m:r>
        <m:r>
          <m:rPr>
            <m:sty m:val="p"/>
          </m:rPr>
          <m:t>*</m:t>
        </m:r>
        <m:r>
          <m:rPr>
            <m:sty m:val="p"/>
          </m:rPr>
          <m:t>*</m:t>
        </m:r>
      </m:oMath>
      <w:r>
        <w:t xml:space="preserve">4.38**. The midpoint of annual guidance would then require $4.22 in the second half, consistent with management’s prior statement that first-half EPS should exceed second-half EPS.</w:t>
      </w:r>
    </w:p>
    <w:p>
      <w:pPr>
        <w:pStyle w:val="BodyText"/>
      </w:pPr>
      <w:r>
        <w:t xml:space="preserve">Management also indicated after Q1 that operating performance, share repurchases and interest expense were running approximately</w:t>
      </w:r>
      <w:r>
        <w:t xml:space="preserve"> </w:t>
      </w:r>
      <m:oMath>
        <m:r>
          <m:t>0.05</m:t>
        </m:r>
        <m:r>
          <m:rPr>
            <m:sty m:val="p"/>
          </m:rPr>
          <m:t>–</m:t>
        </m:r>
      </m:oMath>
      <w:r>
        <w:t xml:space="preserve">0.15 better than initially contemplated, but it retained an offsetting contingency for macroeconomic and commodity uncertainty.</w:t>
      </w:r>
    </w:p>
    <w:bookmarkStart w:id="21" w:name="potential-guidance-outcomes"/>
    <w:p>
      <w:pPr>
        <w:pStyle w:val="Heading3"/>
      </w:pPr>
      <w:r>
        <w:t xml:space="preserve">Potential guidance outcomes</w:t>
      </w:r>
    </w:p>
    <w:p>
      <w:pPr>
        <w:pStyle w:val="FirstParagraph"/>
      </w:pPr>
      <w:r>
        <w:rPr>
          <w:b/>
          <w:bCs/>
        </w:rPr>
        <w:t xml:space="preserve">Bullish:</w:t>
      </w:r>
      <w:r>
        <w:br/>
      </w:r>
      <w:r>
        <w:t xml:space="preserve">Management raises the EPS range, potentially by removing some or all of the contingency, while maintaining organic growth around 3%.</w:t>
      </w:r>
    </w:p>
    <w:p>
      <w:pPr>
        <w:pStyle w:val="BodyText"/>
      </w:pPr>
      <w:r>
        <w:rPr>
          <w:b/>
          <w:bCs/>
        </w:rPr>
        <w:t xml:space="preserve">Acceptable:</w:t>
      </w:r>
      <w:r>
        <w:br/>
      </w:r>
      <w:r>
        <w:t xml:space="preserve">Guidance is reiterated, but management says results are trending toward the upper half and order activity supports second-half acceleration.</w:t>
      </w:r>
    </w:p>
    <w:p>
      <w:pPr>
        <w:pStyle w:val="BodyText"/>
      </w:pPr>
      <w:r>
        <w:rPr>
          <w:b/>
          <w:bCs/>
        </w:rPr>
        <w:t xml:space="preserve">Disappointing:</w:t>
      </w:r>
      <w:r>
        <w:br/>
      </w:r>
      <w:r>
        <w:t xml:space="preserve">Guidance is maintained only because cost savings offset weaker revenue, or management lowers its organic growth assumptions.</w:t>
      </w:r>
    </w:p>
    <w:p>
      <w:pPr>
        <w:pStyle w:val="BodyText"/>
      </w:pPr>
      <w:r>
        <w:t xml:space="preserve">For the stock, the reasoning behind guidance will probably matter as much as the range itself.</w:t>
      </w:r>
    </w:p>
    <w:p>
      <w:r>
        <w:pict>
          <v:rect style="width:0;height:1.5pt" o:hralign="center" o:hrstd="t" o:hr="t"/>
        </w:pict>
      </w:r>
    </w:p>
    <w:bookmarkEnd w:id="21"/>
    <w:bookmarkEnd w:id="22"/>
    <w:bookmarkStart w:id="23" w:name="cash-flow-and-capital-allocation"/>
    <w:p>
      <w:pPr>
        <w:pStyle w:val="Heading2"/>
      </w:pPr>
      <w:r>
        <w:t xml:space="preserve">Cash flow and capital allocation</w:t>
      </w:r>
    </w:p>
    <w:p>
      <w:pPr>
        <w:pStyle w:val="FirstParagraph"/>
      </w:pPr>
      <w:r>
        <w:t xml:space="preserve">Q1 adjusted free cash flow was only</w:t>
      </w:r>
      <w:r>
        <w:t xml:space="preserve"> </w:t>
      </w:r>
      <w:r>
        <w:rPr>
          <w:b/>
          <w:bCs/>
        </w:rPr>
        <w:t xml:space="preserve">$541 million</w:t>
      </w:r>
      <w:r>
        <w:t xml:space="preserve">, or 47% conversion, but seasonality makes the first quarter less important. Management continues to expect more than $4.5 billion of annual adjusted free cash flow and conversion above 100%.</w:t>
      </w:r>
    </w:p>
    <w:p>
      <w:pPr>
        <w:pStyle w:val="BodyText"/>
      </w:pPr>
      <w:r>
        <w:t xml:space="preserve">3M returned $2.4 billion to shareholders during Q1, including:</w:t>
      </w:r>
    </w:p>
    <w:p>
      <w:pPr>
        <w:pStyle w:val="Compact"/>
        <w:numPr>
          <w:ilvl w:val="0"/>
          <w:numId w:val="1012"/>
        </w:numPr>
      </w:pPr>
      <w:r>
        <w:t xml:space="preserve">$2.0 billion of share repurchases</w:t>
      </w:r>
    </w:p>
    <w:p>
      <w:pPr>
        <w:pStyle w:val="Compact"/>
        <w:numPr>
          <w:ilvl w:val="0"/>
          <w:numId w:val="1012"/>
        </w:numPr>
      </w:pPr>
      <w:r>
        <w:t xml:space="preserve">Approximately $400 million of dividends</w:t>
      </w:r>
    </w:p>
    <w:p>
      <w:pPr>
        <w:pStyle w:val="FirstParagraph"/>
      </w:pPr>
      <w:r>
        <w:t xml:space="preserve">Shares outstanding fell from approximately 530.3 million at year-end to 521.6 million at the end of Q1. That provides a meaningful EPS tailwind, but much of it is already incorporated into expectations.</w:t>
      </w:r>
    </w:p>
    <w:p>
      <w:pPr>
        <w:pStyle w:val="BodyText"/>
      </w:pPr>
      <w:r>
        <w:t xml:space="preserve">Investors should watch:</w:t>
      </w:r>
    </w:p>
    <w:p>
      <w:pPr>
        <w:pStyle w:val="Compact"/>
        <w:numPr>
          <w:ilvl w:val="0"/>
          <w:numId w:val="1013"/>
        </w:numPr>
      </w:pPr>
      <w:r>
        <w:t xml:space="preserve">Working-capital performance</w:t>
      </w:r>
    </w:p>
    <w:p>
      <w:pPr>
        <w:pStyle w:val="Compact"/>
        <w:numPr>
          <w:ilvl w:val="0"/>
          <w:numId w:val="1013"/>
        </w:numPr>
      </w:pPr>
      <w:r>
        <w:t xml:space="preserve">Inventory days and service levels</w:t>
      </w:r>
    </w:p>
    <w:p>
      <w:pPr>
        <w:pStyle w:val="Compact"/>
        <w:numPr>
          <w:ilvl w:val="0"/>
          <w:numId w:val="1013"/>
        </w:numPr>
      </w:pPr>
      <w:r>
        <w:t xml:space="preserve">Remaining 2026 buyback plans</w:t>
      </w:r>
    </w:p>
    <w:p>
      <w:pPr>
        <w:pStyle w:val="Compact"/>
        <w:numPr>
          <w:ilvl w:val="0"/>
          <w:numId w:val="1013"/>
        </w:numPr>
      </w:pPr>
      <w:r>
        <w:t xml:space="preserve">Acquisition-related borrowing</w:t>
      </w:r>
    </w:p>
    <w:p>
      <w:pPr>
        <w:pStyle w:val="Compact"/>
        <w:numPr>
          <w:ilvl w:val="0"/>
          <w:numId w:val="1013"/>
        </w:numPr>
      </w:pPr>
      <w:r>
        <w:t xml:space="preserve">The balance between repurchases, debt and portfolio investment</w:t>
      </w:r>
    </w:p>
    <w:p>
      <w:pPr>
        <w:pStyle w:val="FirstParagraph"/>
      </w:pPr>
      <w:r>
        <w:t xml:space="preserve">3M also arranged financing connected with its planned Madison Fire &amp; Rescue transaction. An update on closing, financing and expected earnings contribution would be useful, although it is unlikely to determine the immediate earnings reaction.</w:t>
      </w:r>
    </w:p>
    <w:p>
      <w:r>
        <w:pict>
          <v:rect style="width:0;height:1.5pt" o:hralign="center" o:hrstd="t" o:hr="t"/>
        </w:pict>
      </w:r>
    </w:p>
    <w:bookmarkEnd w:id="23"/>
    <w:bookmarkStart w:id="24" w:name="X4d99f02f0c63eac072b1291faaff93c8ffee56f"/>
    <w:p>
      <w:pPr>
        <w:pStyle w:val="Heading2"/>
      </w:pPr>
      <w:r>
        <w:t xml:space="preserve">Legal liabilities remain a valuation constraint</w:t>
      </w:r>
    </w:p>
    <w:p>
      <w:pPr>
        <w:pStyle w:val="FirstParagraph"/>
      </w:pPr>
      <w:r>
        <w:t xml:space="preserve">3M completed its exit from PFAS manufacturing at the end of 2025, but exiting production does not eliminate legacy liabilities.</w:t>
      </w:r>
    </w:p>
    <w:p>
      <w:pPr>
        <w:pStyle w:val="BodyText"/>
      </w:pPr>
      <w:r>
        <w:t xml:space="preserve">New York sued 3M and other companies on July 9 over PFAS-containing consumer products, alleging that risks were concealed. The new case is unlikely to alter adjusted Q2 earnings, but it reinforces why investors continue to assign a legal-risk discount to the shares.</w:t>
      </w:r>
    </w:p>
    <w:p>
      <w:pPr>
        <w:pStyle w:val="BodyText"/>
      </w:pPr>
      <w:r>
        <w:t xml:space="preserve">Other considerations include:</w:t>
      </w:r>
    </w:p>
    <w:p>
      <w:pPr>
        <w:pStyle w:val="Compact"/>
        <w:numPr>
          <w:ilvl w:val="0"/>
          <w:numId w:val="1014"/>
        </w:numPr>
      </w:pPr>
      <w:r>
        <w:t xml:space="preserve">Public-water-system PFAS settlement payments</w:t>
      </w:r>
    </w:p>
    <w:p>
      <w:pPr>
        <w:pStyle w:val="Compact"/>
        <w:numPr>
          <w:ilvl w:val="0"/>
          <w:numId w:val="1014"/>
        </w:numPr>
      </w:pPr>
      <w:r>
        <w:t xml:space="preserve">Combat Arms Earplugs settlement payments</w:t>
      </w:r>
    </w:p>
    <w:p>
      <w:pPr>
        <w:pStyle w:val="Compact"/>
        <w:numPr>
          <w:ilvl w:val="0"/>
          <w:numId w:val="1014"/>
        </w:numPr>
      </w:pPr>
      <w:r>
        <w:t xml:space="preserve">Other environmental and product claims</w:t>
      </w:r>
    </w:p>
    <w:p>
      <w:pPr>
        <w:pStyle w:val="Compact"/>
        <w:numPr>
          <w:ilvl w:val="0"/>
          <w:numId w:val="1014"/>
        </w:numPr>
      </w:pPr>
      <w:r>
        <w:t xml:space="preserve">Insurance recoveries</w:t>
      </w:r>
    </w:p>
    <w:p>
      <w:pPr>
        <w:pStyle w:val="Compact"/>
        <w:numPr>
          <w:ilvl w:val="0"/>
          <w:numId w:val="1014"/>
        </w:numPr>
      </w:pPr>
      <w:r>
        <w:t xml:space="preserve">Potential additional costs associated with former PFAS facilities</w:t>
      </w:r>
    </w:p>
    <w:p>
      <w:pPr>
        <w:pStyle w:val="FirstParagraph"/>
      </w:pPr>
      <w:r>
        <w:t xml:space="preserve">GAAP results can also be distorted by legal charges, transformation costs, PFAS-exit activity and changes in the value of 3M’s retained Solventum stake. For operating analysis, adjusted organic growth, adjusted margin and adjusted free cash flow remain more informative than headline GAAP EPS.</w:t>
      </w:r>
    </w:p>
    <w:p>
      <w:r>
        <w:pict>
          <v:rect style="width:0;height:1.5pt" o:hralign="center" o:hrstd="t" o:hr="t"/>
        </w:pict>
      </w:r>
    </w:p>
    <w:bookmarkEnd w:id="24"/>
    <w:bookmarkStart w:id="28" w:name="earnings-reaction-framework"/>
    <w:p>
      <w:pPr>
        <w:pStyle w:val="Heading2"/>
      </w:pPr>
      <w:r>
        <w:t xml:space="preserve">Earnings reaction framework</w:t>
      </w:r>
    </w:p>
    <w:bookmarkStart w:id="25" w:name="bull-case"/>
    <w:p>
      <w:pPr>
        <w:pStyle w:val="Heading3"/>
      </w:pPr>
      <w:r>
        <w:t xml:space="preserve">Bull case</w:t>
      </w:r>
    </w:p>
    <w:p>
      <w:pPr>
        <w:pStyle w:val="Compact"/>
        <w:numPr>
          <w:ilvl w:val="0"/>
          <w:numId w:val="1015"/>
        </w:numPr>
      </w:pPr>
      <w:r>
        <w:t xml:space="preserve">Organic growth above approximately 3.5%</w:t>
      </w:r>
    </w:p>
    <w:p>
      <w:pPr>
        <w:pStyle w:val="Compact"/>
        <w:numPr>
          <w:ilvl w:val="0"/>
          <w:numId w:val="1015"/>
        </w:numPr>
      </w:pPr>
      <w:r>
        <w:t xml:space="preserve">Transportation &amp; Electronics grows low to mid-single digits</w:t>
      </w:r>
    </w:p>
    <w:p>
      <w:pPr>
        <w:pStyle w:val="Compact"/>
        <w:numPr>
          <w:ilvl w:val="0"/>
          <w:numId w:val="1015"/>
        </w:numPr>
      </w:pPr>
      <w:r>
        <w:t xml:space="preserve">Consumer returns to positive growth</w:t>
      </w:r>
    </w:p>
    <w:p>
      <w:pPr>
        <w:pStyle w:val="Compact"/>
        <w:numPr>
          <w:ilvl w:val="0"/>
          <w:numId w:val="1015"/>
        </w:numPr>
      </w:pPr>
      <w:r>
        <w:t xml:space="preserve">Adjusted margin at or above 24.7%</w:t>
      </w:r>
    </w:p>
    <w:p>
      <w:pPr>
        <w:pStyle w:val="Compact"/>
        <w:numPr>
          <w:ilvl w:val="0"/>
          <w:numId w:val="1015"/>
        </w:numPr>
      </w:pPr>
      <w:r>
        <w:t xml:space="preserve">EPS above roughly $2.28</w:t>
      </w:r>
    </w:p>
    <w:p>
      <w:pPr>
        <w:pStyle w:val="Compact"/>
        <w:numPr>
          <w:ilvl w:val="0"/>
          <w:numId w:val="1015"/>
        </w:numPr>
      </w:pPr>
      <w:r>
        <w:t xml:space="preserve">Orders remain healthy after the pricing-related pre-buy</w:t>
      </w:r>
    </w:p>
    <w:p>
      <w:pPr>
        <w:pStyle w:val="Compact"/>
        <w:numPr>
          <w:ilvl w:val="0"/>
          <w:numId w:val="1015"/>
        </w:numPr>
      </w:pPr>
      <w:r>
        <w:t xml:space="preserve">Full-year EPS guidance raised</w:t>
      </w:r>
    </w:p>
    <w:p>
      <w:pPr>
        <w:pStyle w:val="FirstParagraph"/>
      </w:pPr>
      <w:r>
        <w:t xml:space="preserve">This would reinforce the view that 3M is becoming a better-growth, higher-quality industrial company.</w:t>
      </w:r>
    </w:p>
    <w:bookmarkEnd w:id="25"/>
    <w:bookmarkStart w:id="26" w:name="base-case"/>
    <w:p>
      <w:pPr>
        <w:pStyle w:val="Heading3"/>
      </w:pPr>
      <w:r>
        <w:t xml:space="preserve">Base case</w:t>
      </w:r>
    </w:p>
    <w:p>
      <w:pPr>
        <w:pStyle w:val="Compact"/>
        <w:numPr>
          <w:ilvl w:val="0"/>
          <w:numId w:val="1016"/>
        </w:numPr>
      </w:pPr>
      <w:r>
        <w:t xml:space="preserve">Organic growth of 3%–3.5%</w:t>
      </w:r>
    </w:p>
    <w:p>
      <w:pPr>
        <w:pStyle w:val="Compact"/>
        <w:numPr>
          <w:ilvl w:val="0"/>
          <w:numId w:val="1016"/>
        </w:numPr>
      </w:pPr>
      <w:r>
        <w:t xml:space="preserve">Margin of 24.5%–24.7%</w:t>
      </w:r>
    </w:p>
    <w:p>
      <w:pPr>
        <w:pStyle w:val="Compact"/>
        <w:numPr>
          <w:ilvl w:val="0"/>
          <w:numId w:val="1016"/>
        </w:numPr>
      </w:pPr>
      <w:r>
        <w:t xml:space="preserve">EPS of approximately</w:t>
      </w:r>
      <w:r>
        <w:t xml:space="preserve"> </w:t>
      </w:r>
      <m:oMath>
        <m:r>
          <m:t>2.22</m:t>
        </m:r>
        <m:r>
          <m:rPr>
            <m:sty m:val="p"/>
          </m:rPr>
          <m:t>–</m:t>
        </m:r>
      </m:oMath>
      <w:r>
        <w:t xml:space="preserve">2.27</w:t>
      </w:r>
    </w:p>
    <w:p>
      <w:pPr>
        <w:pStyle w:val="Compact"/>
        <w:numPr>
          <w:ilvl w:val="0"/>
          <w:numId w:val="1016"/>
        </w:numPr>
      </w:pPr>
      <w:r>
        <w:t xml:space="preserve">Guidance reiterated, with confidence in the upper half</w:t>
      </w:r>
    </w:p>
    <w:p>
      <w:pPr>
        <w:pStyle w:val="Compact"/>
        <w:numPr>
          <w:ilvl w:val="0"/>
          <w:numId w:val="1016"/>
        </w:numPr>
      </w:pPr>
      <w:r>
        <w:t xml:space="preserve">Orders normalize but remain constructive</w:t>
      </w:r>
    </w:p>
    <w:p>
      <w:pPr>
        <w:pStyle w:val="FirstParagraph"/>
      </w:pPr>
      <w:r>
        <w:t xml:space="preserve">This would be operationally solid, although the stock reaction could be muted given the recent re-rating.</w:t>
      </w:r>
    </w:p>
    <w:bookmarkEnd w:id="26"/>
    <w:bookmarkStart w:id="27" w:name="bear-case"/>
    <w:p>
      <w:pPr>
        <w:pStyle w:val="Heading3"/>
      </w:pPr>
      <w:r>
        <w:t xml:space="preserve">Bear case</w:t>
      </w:r>
    </w:p>
    <w:p>
      <w:pPr>
        <w:pStyle w:val="Compact"/>
        <w:numPr>
          <w:ilvl w:val="0"/>
          <w:numId w:val="1017"/>
        </w:numPr>
      </w:pPr>
      <w:r>
        <w:t xml:space="preserve">Organic growth below 3%</w:t>
      </w:r>
    </w:p>
    <w:p>
      <w:pPr>
        <w:pStyle w:val="Compact"/>
        <w:numPr>
          <w:ilvl w:val="0"/>
          <w:numId w:val="1017"/>
        </w:numPr>
      </w:pPr>
      <w:r>
        <w:t xml:space="preserve">Backlog converts, but new orders weaken materially</w:t>
      </w:r>
    </w:p>
    <w:p>
      <w:pPr>
        <w:pStyle w:val="Compact"/>
        <w:numPr>
          <w:ilvl w:val="0"/>
          <w:numId w:val="1017"/>
        </w:numPr>
      </w:pPr>
      <w:r>
        <w:t xml:space="preserve">Transportation &amp; Electronics remains near flat</w:t>
      </w:r>
    </w:p>
    <w:p>
      <w:pPr>
        <w:pStyle w:val="Compact"/>
        <w:numPr>
          <w:ilvl w:val="0"/>
          <w:numId w:val="1017"/>
        </w:numPr>
      </w:pPr>
      <w:r>
        <w:t xml:space="preserve">Consumer stays negative</w:t>
      </w:r>
    </w:p>
    <w:p>
      <w:pPr>
        <w:pStyle w:val="Compact"/>
        <w:numPr>
          <w:ilvl w:val="0"/>
          <w:numId w:val="1017"/>
        </w:numPr>
      </w:pPr>
      <w:r>
        <w:t xml:space="preserve">Margin below approximately 24.3%</w:t>
      </w:r>
    </w:p>
    <w:p>
      <w:pPr>
        <w:pStyle w:val="Compact"/>
        <w:numPr>
          <w:ilvl w:val="0"/>
          <w:numId w:val="1017"/>
        </w:numPr>
      </w:pPr>
      <w:r>
        <w:t xml:space="preserve">Guidance is maintained through cost cuts rather than revenue strength—or is reduced</w:t>
      </w:r>
    </w:p>
    <w:p>
      <w:pPr>
        <w:pStyle w:val="Compact"/>
        <w:numPr>
          <w:ilvl w:val="0"/>
          <w:numId w:val="1017"/>
        </w:numPr>
      </w:pPr>
      <w:r>
        <w:t xml:space="preserve">New legal or PFAS cash requirements emerge</w:t>
      </w:r>
    </w:p>
    <w:p>
      <w:pPr>
        <w:pStyle w:val="FirstParagraph"/>
      </w:pPr>
      <w:r>
        <w:t xml:space="preserve">That would challenge the increasingly optimistic assumption that 3M’s growth profile has structurally improved.</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The Q2 setup is favorable, but expectations have risen. Management already guided to organic growth above 3%, a margin around 24.5% and EPS above roughly $2.21, so a small headline beat would not be especially informative.</w:t>
      </w:r>
    </w:p>
    <w:p>
      <w:pPr>
        <w:pStyle w:val="BodyText"/>
      </w:pPr>
      <w:r>
        <w:t xml:space="preserve">The most important evidence will be:</w:t>
      </w:r>
    </w:p>
    <w:p>
      <w:pPr>
        <w:pStyle w:val="Compact"/>
        <w:numPr>
          <w:ilvl w:val="0"/>
          <w:numId w:val="1018"/>
        </w:numPr>
      </w:pPr>
      <w:r>
        <w:rPr>
          <w:b/>
          <w:bCs/>
        </w:rPr>
        <w:t xml:space="preserve">Quality and durability of orders after the Q1 pre-buy</w:t>
      </w:r>
    </w:p>
    <w:p>
      <w:pPr>
        <w:pStyle w:val="Compact"/>
        <w:numPr>
          <w:ilvl w:val="0"/>
          <w:numId w:val="1018"/>
        </w:numPr>
      </w:pPr>
      <w:r>
        <w:rPr>
          <w:b/>
          <w:bCs/>
        </w:rPr>
        <w:t xml:space="preserve">Transportation &amp; Electronics acceleration</w:t>
      </w:r>
    </w:p>
    <w:p>
      <w:pPr>
        <w:pStyle w:val="Compact"/>
        <w:numPr>
          <w:ilvl w:val="0"/>
          <w:numId w:val="1018"/>
        </w:numPr>
      </w:pPr>
      <w:r>
        <w:rPr>
          <w:b/>
          <w:bCs/>
        </w:rPr>
        <w:t xml:space="preserve">Consumer stabilization</w:t>
      </w:r>
    </w:p>
    <w:p>
      <w:pPr>
        <w:pStyle w:val="Compact"/>
        <w:numPr>
          <w:ilvl w:val="0"/>
          <w:numId w:val="1018"/>
        </w:numPr>
      </w:pPr>
      <w:r>
        <w:rPr>
          <w:b/>
          <w:bCs/>
        </w:rPr>
        <w:t xml:space="preserve">Price/cost neutrality without material volume damage</w:t>
      </w:r>
    </w:p>
    <w:p>
      <w:pPr>
        <w:pStyle w:val="Compact"/>
        <w:numPr>
          <w:ilvl w:val="0"/>
          <w:numId w:val="1018"/>
        </w:numPr>
      </w:pPr>
      <w:r>
        <w:rPr>
          <w:b/>
          <w:bCs/>
        </w:rPr>
        <w:t xml:space="preserve">Whether management converts its</w:t>
      </w:r>
      <w:r>
        <w:rPr>
          <w:b/>
          <w:bCs/>
        </w:rPr>
        <w:t xml:space="preserve"> </w:t>
      </w:r>
      <m:oMath>
        <m:r>
          <m:t>0.05</m:t>
        </m:r>
        <m:r>
          <m:rPr>
            <m:sty m:val="p"/>
          </m:rPr>
          <m:t>–</m:t>
        </m:r>
      </m:oMath>
      <w:r>
        <w:rPr>
          <w:b/>
          <w:bCs/>
        </w:rPr>
        <w:t xml:space="preserve">0.15 contingency into higher guidance</w:t>
      </w:r>
    </w:p>
    <w:p>
      <w:pPr>
        <w:pStyle w:val="Compact"/>
        <w:numPr>
          <w:ilvl w:val="0"/>
          <w:numId w:val="1018"/>
        </w:numPr>
      </w:pPr>
      <w:r>
        <w:rPr>
          <w:b/>
          <w:bCs/>
        </w:rPr>
        <w:t xml:space="preserve">Continued progress toward structurally higher margins and cash generation</w:t>
      </w:r>
    </w:p>
    <w:p>
      <w:pPr>
        <w:pStyle w:val="FirstParagraph"/>
      </w:pPr>
      <w:r>
        <w:t xml:space="preserve">The best outcome is not merely a</w:t>
      </w:r>
      <w:r>
        <w:t xml:space="preserve"> </w:t>
      </w:r>
      <m:oMath>
        <m:r>
          <m:t>0.03</m:t>
        </m:r>
        <m:r>
          <m:rPr>
            <m:sty m:val="p"/>
          </m:rPr>
          <m:t>–</m:t>
        </m:r>
      </m:oMath>
      <w:r>
        <w:t xml:space="preserve">0.05 EPS beat. It is proof that 3M can sustain better-than-market organic growth while expanding margins—enough to justify the stock’s approximately 18.5x forward earnings multiple.</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2026-07-21T00:41:07Z</dcterms:created>
  <dcterms:modified xsi:type="dcterms:W3CDTF">2026-07-21T00:41:07Z</dcterms:modified>
</cp:coreProperties>
</file>

<file path=docProps/custom.xml><?xml version="1.0" encoding="utf-8"?>
<Properties xmlns="http://schemas.openxmlformats.org/officeDocument/2006/custom-properties" xmlns:vt="http://schemas.openxmlformats.org/officeDocument/2006/docPropsVTypes"/>
</file>