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a7aad82b01d9d2362a26fadb2a63256b1ca758"/>
    <w:p>
      <w:pPr>
        <w:pStyle w:val="Heading1"/>
      </w:pPr>
      <w:r>
        <w:t xml:space="preserve">3M (NYSE: MMM) — 2Q26 Earnings Preview</w:t>
      </w:r>
    </w:p>
    <w:p>
      <w:pPr>
        <w:pStyle w:val="BlockText"/>
      </w:pPr>
      <w:r>
        <w:rPr>
          <w:b/>
          <w:bCs/>
        </w:rPr>
        <w:t xml:space="preserve">Timing note:</w:t>
      </w:r>
      <w:r>
        <w:t xml:space="preserve"> </w:t>
      </w:r>
      <w:r>
        <w:t xml:space="preserve">The supplied event date,</w:t>
      </w:r>
      <w:r>
        <w:t xml:space="preserve"> </w:t>
      </w:r>
      <w:r>
        <w:rPr>
          <w:b/>
          <w:bCs/>
        </w:rPr>
        <w:t xml:space="preserve">Tuesday, July 21, 2026</w:t>
      </w:r>
      <w:r>
        <w:t xml:space="preserve">, is</w:t>
      </w:r>
      <w:r>
        <w:t xml:space="preserve"> </w:t>
      </w:r>
      <w:r>
        <w:rPr>
          <w:b/>
          <w:bCs/>
        </w:rPr>
        <w:t xml:space="preserve">today</w:t>
      </w:r>
      <w:r>
        <w:t xml:space="preserve">, not tomorrow. 3M is scheduled to report 2Q26 results before the U.S. market opens, followed by its earnings call.</w:t>
      </w:r>
    </w:p>
    <w:bookmarkStart w:id="9" w:name="X1055dca05521a6d379643f703f051fa46f345ad"/>
    <w:p>
      <w:pPr>
        <w:pStyle w:val="Heading2"/>
      </w:pPr>
      <w:r>
        <w:t xml:space="preserve">Investment setup: the quarter is about validating an acceleration—not merely beating EPS</w:t>
      </w:r>
    </w:p>
    <w:p>
      <w:pPr>
        <w:pStyle w:val="FirstParagraph"/>
      </w:pPr>
      <w:r>
        <w:t xml:space="preserve">3M enters 2Q with expectations for a meaningful step-up in organic growth and stable-to-improving margins. Management’s 1Q commentary established a constructive bar: it expected</w:t>
      </w:r>
      <w:r>
        <w:t xml:space="preserve"> </w:t>
      </w:r>
      <w:r>
        <w:rPr>
          <w:b/>
          <w:bCs/>
        </w:rPr>
        <w:t xml:space="preserve">organic growth above 3%</w:t>
      </w:r>
      <w:r>
        <w:t xml:space="preserve">, all three business groups to accelerate, adjusted operating margin of roughly</w:t>
      </w:r>
      <w:r>
        <w:t xml:space="preserve"> </w:t>
      </w:r>
      <w:r>
        <w:rPr>
          <w:b/>
          <w:bCs/>
        </w:rPr>
        <w:t xml:space="preserve">24.5%</w:t>
      </w:r>
      <w:r>
        <w:t xml:space="preserve">, and adjusted EPS growth of more than</w:t>
      </w:r>
      <w:r>
        <w:t xml:space="preserve"> </w:t>
      </w:r>
      <w:r>
        <w:rPr>
          <w:b/>
          <w:bCs/>
        </w:rPr>
        <w:t xml:space="preserve">$0.05 year over year</w:t>
      </w:r>
      <w:r>
        <w:t xml:space="preserve">.</w:t>
      </w:r>
    </w:p>
    <w:p>
      <w:pPr>
        <w:pStyle w:val="BodyText"/>
      </w:pPr>
      <w:r>
        <w:t xml:space="preserve">The principal issue for investors is therefore the</w:t>
      </w:r>
      <w:r>
        <w:t xml:space="preserve"> </w:t>
      </w:r>
      <w:r>
        <w:rPr>
          <w:b/>
          <w:bCs/>
        </w:rPr>
        <w:t xml:space="preserve">quality and durability of the expected growth inflection</w:t>
      </w:r>
      <w:r>
        <w:t xml:space="preserve">:</w:t>
      </w:r>
    </w:p>
    <w:p>
      <w:pPr>
        <w:pStyle w:val="Compact"/>
        <w:numPr>
          <w:ilvl w:val="0"/>
          <w:numId w:val="1001"/>
        </w:numPr>
      </w:pPr>
      <w:r>
        <w:rPr>
          <w:b/>
          <w:bCs/>
        </w:rPr>
        <w:t xml:space="preserve">Is order/backlog strength converting into revenue as promised?</w:t>
      </w:r>
    </w:p>
    <w:p>
      <w:pPr>
        <w:pStyle w:val="Compact"/>
        <w:numPr>
          <w:ilvl w:val="0"/>
          <w:numId w:val="1001"/>
        </w:numPr>
      </w:pPr>
      <w:r>
        <w:rPr>
          <w:b/>
          <w:bCs/>
        </w:rPr>
        <w:t xml:space="preserve">How much 1Q order strength represented genuine commercial traction versus price-related pre-buying?</w:t>
      </w:r>
    </w:p>
    <w:p>
      <w:pPr>
        <w:pStyle w:val="Compact"/>
        <w:numPr>
          <w:ilvl w:val="0"/>
          <w:numId w:val="1001"/>
        </w:numPr>
      </w:pPr>
      <w:r>
        <w:rPr>
          <w:b/>
          <w:bCs/>
        </w:rPr>
        <w:t xml:space="preserve">Can 3M offset higher oil-linked input costs with pricing while continuing to expand margins?</w:t>
      </w:r>
    </w:p>
    <w:p>
      <w:pPr>
        <w:pStyle w:val="Compact"/>
        <w:numPr>
          <w:ilvl w:val="0"/>
          <w:numId w:val="1001"/>
        </w:numPr>
      </w:pPr>
      <w:r>
        <w:rPr>
          <w:b/>
          <w:bCs/>
        </w:rPr>
        <w:t xml:space="preserve">Will management remove some or all of its</w:t>
      </w:r>
      <w:r>
        <w:rPr>
          <w:b/>
          <w:bCs/>
        </w:rPr>
        <w:t xml:space="preserve"> </w:t>
      </w:r>
      <m:oMath>
        <m:r>
          <m:t>0.05</m:t>
        </m:r>
        <m:r>
          <m:rPr>
            <m:sty m:val="p"/>
          </m:rPr>
          <m:t>–</m:t>
        </m:r>
      </m:oMath>
      <w:r>
        <w:rPr>
          <w:b/>
          <w:bCs/>
        </w:rPr>
        <w:t xml:space="preserve">0.15 full-year contingency, opening a path to higher 2026 guidance?</w:t>
      </w:r>
    </w:p>
    <w:p>
      <w:pPr>
        <w:pStyle w:val="FirstParagraph"/>
      </w:pPr>
      <w:r>
        <w:t xml:space="preserve">A clean result likely requires more than a small EPS beat: investors will want evidence that Safety &amp; Industrial remains durable, Transportation &amp; Electronics is recovering on data-center/semiconductor demand and automotive backlog conversion, and Consumer has stabilized.</w:t>
      </w:r>
    </w:p>
    <w:p>
      <w:r>
        <w:pict>
          <v:rect style="width:0;height:1.5pt" o:hralign="center" o:hrstd="t" o:hr="t"/>
        </w:pict>
      </w:r>
    </w:p>
    <w:bookmarkEnd w:id="9"/>
    <w:bookmarkStart w:id="10" w:name="what-the-street-is-looking-for"/>
    <w:p>
      <w:pPr>
        <w:pStyle w:val="Heading2"/>
      </w:pPr>
      <w:r>
        <w:t xml:space="preserve">What the Street is looking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2Q26 expectation</w:t>
            </w:r>
          </w:p>
        </w:tc>
        <w:tc>
          <w:tcPr/>
          <w:p>
            <w:pPr>
              <w:pStyle w:val="Compact"/>
              <w:jc w:val="right"/>
            </w:pPr>
            <w:r>
              <w:t xml:space="preserve">Current setup</w:t>
            </w:r>
          </w:p>
        </w:tc>
      </w:tr>
      <w:tr>
        <w:tc>
          <w:tcPr/>
          <w:p>
            <w:pPr>
              <w:pStyle w:val="Compact"/>
            </w:pPr>
            <w:r>
              <w:t xml:space="preserve">Organic sales growth</w:t>
            </w:r>
          </w:p>
        </w:tc>
        <w:tc>
          <w:tcPr/>
          <w:p>
            <w:pPr>
              <w:pStyle w:val="Compact"/>
              <w:jc w:val="right"/>
            </w:pPr>
            <w:r>
              <w:rPr>
                <w:b/>
                <w:bCs/>
              </w:rPr>
              <w:t xml:space="preserve">~3.15%</w:t>
            </w:r>
          </w:p>
        </w:tc>
      </w:tr>
      <w:tr>
        <w:tc>
          <w:tcPr/>
          <w:p>
            <w:pPr>
              <w:pStyle w:val="Compact"/>
            </w:pPr>
            <w:r>
              <w:t xml:space="preserve">Adjusted operating margin</w:t>
            </w:r>
          </w:p>
        </w:tc>
        <w:tc>
          <w:tcPr/>
          <w:p>
            <w:pPr>
              <w:pStyle w:val="Compact"/>
              <w:jc w:val="right"/>
            </w:pPr>
            <w:r>
              <w:rPr>
                <w:b/>
                <w:bCs/>
              </w:rPr>
              <w:t xml:space="preserve">~24.65%</w:t>
            </w:r>
          </w:p>
        </w:tc>
      </w:tr>
      <w:tr>
        <w:tc>
          <w:tcPr/>
          <w:p>
            <w:pPr>
              <w:pStyle w:val="Compact"/>
            </w:pPr>
            <w:r>
              <w:t xml:space="preserve">Adjusted EPS</w:t>
            </w:r>
          </w:p>
        </w:tc>
        <w:tc>
          <w:tcPr/>
          <w:p>
            <w:pPr>
              <w:pStyle w:val="Compact"/>
              <w:jc w:val="right"/>
            </w:pPr>
            <w:r>
              <w:rPr>
                <w:b/>
                <w:bCs/>
              </w:rPr>
              <w:t xml:space="preserve">$2.24</w:t>
            </w:r>
          </w:p>
        </w:tc>
      </w:tr>
      <w:tr>
        <w:tc>
          <w:tcPr/>
          <w:p>
            <w:pPr>
              <w:pStyle w:val="Compact"/>
            </w:pPr>
            <w:r>
              <w:t xml:space="preserve">Prior-year adjusted EPS</w:t>
            </w:r>
          </w:p>
        </w:tc>
        <w:tc>
          <w:tcPr/>
          <w:p>
            <w:pPr>
              <w:pStyle w:val="Compact"/>
              <w:jc w:val="right"/>
            </w:pPr>
            <w:r>
              <w:t xml:space="preserve">$2.16</w:t>
            </w:r>
          </w:p>
        </w:tc>
      </w:tr>
      <w:tr>
        <w:tc>
          <w:tcPr/>
          <w:p>
            <w:pPr>
              <w:pStyle w:val="Compact"/>
            </w:pPr>
            <w:r>
              <w:t xml:space="preserve">Prior-year adjusted operating margin</w:t>
            </w:r>
          </w:p>
        </w:tc>
        <w:tc>
          <w:tcPr/>
          <w:p>
            <w:pPr>
              <w:pStyle w:val="Compact"/>
              <w:jc w:val="right"/>
            </w:pPr>
            <w:r>
              <w:t xml:space="preserve">24.5%</w:t>
            </w:r>
          </w:p>
        </w:tc>
      </w:tr>
      <w:tr>
        <w:tc>
          <w:tcPr/>
          <w:p>
            <w:pPr>
              <w:pStyle w:val="Compact"/>
            </w:pPr>
            <w:r>
              <w:t xml:space="preserve">Prior-year adjusted organic growth</w:t>
            </w:r>
          </w:p>
        </w:tc>
        <w:tc>
          <w:tcPr/>
          <w:p>
            <w:pPr>
              <w:pStyle w:val="Compact"/>
              <w:jc w:val="right"/>
            </w:pPr>
            <w:r>
              <w:t xml:space="preserve">1.5%</w:t>
            </w:r>
          </w:p>
        </w:tc>
      </w:tr>
    </w:tbl>
    <w:p>
      <w:pPr>
        <w:pStyle w:val="BodyText"/>
      </w:pPr>
      <w:r>
        <w:t xml:space="preserve">The implied consensus setup is reasonable relative to management’s April framework, but it leaves limited room for a merely “in-line and reiterate” report to be viewed as a strong catalyst. A result near consensus with no improvement in the full-year outlook may reinforce the view that the anticipated second-half acceleration remains unproven.</w:t>
      </w:r>
    </w:p>
    <w:p>
      <w:pPr>
        <w:pStyle w:val="BodyText"/>
      </w:pPr>
      <w:r>
        <w:t xml:space="preserve">For context, 3M delivered</w:t>
      </w:r>
      <w:r>
        <w:t xml:space="preserve"> </w:t>
      </w:r>
      <w:r>
        <w:rPr>
          <w:b/>
          <w:bCs/>
        </w:rPr>
        <w:t xml:space="preserve">1.2% adjusted organic growth</w:t>
      </w:r>
      <w:r>
        <w:t xml:space="preserve">, a</w:t>
      </w:r>
      <w:r>
        <w:t xml:space="preserve"> </w:t>
      </w:r>
      <w:r>
        <w:rPr>
          <w:b/>
          <w:bCs/>
        </w:rPr>
        <w:t xml:space="preserve">23.8% adjusted operating margin</w:t>
      </w:r>
      <w:r>
        <w:t xml:space="preserve">, and</w:t>
      </w:r>
      <w:r>
        <w:t xml:space="preserve"> </w:t>
      </w:r>
      <m:oMath>
        <m:r>
          <m:t>2.14</m:t>
        </m:r>
        <m:r>
          <m:t>a</m:t>
        </m:r>
        <m:r>
          <m:t>d</m:t>
        </m:r>
        <m:r>
          <m:t>j</m:t>
        </m:r>
        <m:r>
          <m:t>u</m:t>
        </m:r>
        <m:r>
          <m:t>s</m:t>
        </m:r>
        <m:r>
          <m:t>t</m:t>
        </m:r>
        <m:r>
          <m:t>e</m:t>
        </m:r>
        <m:r>
          <m:t>d</m:t>
        </m:r>
        <m:r>
          <m:t>E</m:t>
        </m:r>
        <m:r>
          <m:t>P</m:t>
        </m:r>
        <m:r>
          <m:t>S</m:t>
        </m:r>
        <m:r>
          <m:rPr>
            <m:sty m:val="p"/>
          </m:rPr>
          <m:t>*</m:t>
        </m:r>
        <m:r>
          <m:rPr>
            <m:sty m:val="p"/>
          </m:rPr>
          <m:t>*</m:t>
        </m:r>
        <m:r>
          <m:t>i</m:t>
        </m:r>
        <m:r>
          <m:t>n</m:t>
        </m:r>
        <m:r>
          <m:t>1</m:t>
        </m:r>
        <m:r>
          <m:t>Q</m:t>
        </m:r>
        <m:r>
          <m:t>26</m:t>
        </m:r>
        <m:r>
          <m:rPr>
            <m:sty m:val="p"/>
          </m:rPr>
          <m:t>.</m:t>
        </m:r>
        <m:r>
          <m:t>F</m:t>
        </m:r>
        <m:r>
          <m:t>u</m:t>
        </m:r>
        <m:r>
          <m:t>l</m:t>
        </m:r>
        <m:r>
          <m:t>l</m:t>
        </m:r>
        <m:r>
          <m:rPr>
            <m:sty m:val="p"/>
          </m:rPr>
          <m:t>−</m:t>
        </m:r>
        <m:r>
          <m:t>y</m:t>
        </m:r>
        <m:r>
          <m:t>e</m:t>
        </m:r>
        <m:r>
          <m:t>a</m:t>
        </m:r>
        <m:r>
          <m:t>r</m:t>
        </m:r>
        <m:r>
          <m:t>g</m:t>
        </m:r>
        <m:r>
          <m:t>u</m:t>
        </m:r>
        <m:r>
          <m:t>i</m:t>
        </m:r>
        <m:r>
          <m:t>d</m:t>
        </m:r>
        <m:r>
          <m:t>a</m:t>
        </m:r>
        <m:r>
          <m:t>n</m:t>
        </m:r>
        <m:r>
          <m:t>c</m:t>
        </m:r>
        <m:r>
          <m:t>e</m:t>
        </m:r>
        <m:r>
          <m:t>r</m:t>
        </m:r>
        <m:r>
          <m:t>e</m:t>
        </m:r>
        <m:r>
          <m:t>m</m:t>
        </m:r>
        <m:r>
          <m:t>a</m:t>
        </m:r>
        <m:r>
          <m:t>i</m:t>
        </m:r>
        <m:r>
          <m:t>n</m:t>
        </m:r>
        <m:r>
          <m:t>s</m:t>
        </m:r>
        <m:r>
          <m:t>f</m:t>
        </m:r>
        <m:r>
          <m:t>o</m:t>
        </m:r>
        <m:r>
          <m:t>r</m:t>
        </m:r>
        <m:r>
          <m:t>a</m:t>
        </m:r>
        <m:r>
          <m:t>p</m:t>
        </m:r>
        <m:r>
          <m:t>p</m:t>
        </m:r>
        <m:r>
          <m:t>r</m:t>
        </m:r>
        <m:r>
          <m:t>o</m:t>
        </m:r>
        <m:r>
          <m:t>x</m:t>
        </m:r>
        <m:r>
          <m:t>i</m:t>
        </m:r>
        <m:r>
          <m:t>m</m:t>
        </m:r>
        <m:r>
          <m:t>a</m:t>
        </m:r>
        <m:r>
          <m:t>t</m:t>
        </m:r>
        <m:r>
          <m:t>e</m:t>
        </m:r>
        <m:r>
          <m:t>l</m:t>
        </m:r>
        <m:r>
          <m:t>y</m:t>
        </m:r>
        <m:r>
          <m:rPr>
            <m:sty m:val="p"/>
          </m:rPr>
          <m:t>*</m:t>
        </m:r>
        <m:r>
          <m:rPr>
            <m:sty m:val="p"/>
          </m:rPr>
          <m:t>*</m:t>
        </m:r>
        <m:r>
          <m:t>3</m:t>
        </m:r>
      </m:oMath>
      <w:r>
        <w:rPr>
          <w:b/>
          <w:bCs/>
        </w:rPr>
        <w:t xml:space="preserve">8.50–$8.70 adjusted EPS</w:t>
      </w:r>
      <w:r>
        <w:t xml:space="preserve">, and</w:t>
      </w:r>
      <w:r>
        <w:t xml:space="preserve"> </w:t>
      </w:r>
      <w:r>
        <w:rPr>
          <w:b/>
          <w:bCs/>
        </w:rPr>
        <w:t xml:space="preserve">more than 100% adjusted free-cash-flow conversion</w:t>
      </w:r>
      <w:r>
        <w:t xml:space="preserve">.</w:t>
      </w:r>
    </w:p>
    <w:p>
      <w:pPr>
        <w:pStyle w:val="BodyText"/>
      </w:pPr>
      <w:r>
        <w:t xml:space="preserve">At</w:t>
      </w:r>
      <w:r>
        <w:t xml:space="preserve"> </w:t>
      </w:r>
      <m:oMath>
        <m:r>
          <m:t>2.24</m:t>
        </m:r>
        <m:r>
          <m:t>o</m:t>
        </m:r>
        <m:r>
          <m:t>f</m:t>
        </m:r>
        <m:r>
          <m:t>2</m:t>
        </m:r>
        <m:r>
          <m:t>Q</m:t>
        </m:r>
        <m:r>
          <m:t>E</m:t>
        </m:r>
        <m:r>
          <m:t>P</m:t>
        </m:r>
        <m:r>
          <m:t>S</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t</m:t>
        </m:r>
        <m:r>
          <m:t>o</m:t>
        </m:r>
        <m:r>
          <m:t>t</m:t>
        </m:r>
        <m:r>
          <m:t>a</m:t>
        </m:r>
        <m:r>
          <m:t>l</m:t>
        </m:r>
        <m:r>
          <m:t>r</m:t>
        </m:r>
        <m:r>
          <m:t>o</m:t>
        </m:r>
        <m:r>
          <m:t>u</m:t>
        </m:r>
        <m:r>
          <m:t>g</m:t>
        </m:r>
        <m:r>
          <m:t>h</m:t>
        </m:r>
        <m:r>
          <m:t>l</m:t>
        </m:r>
        <m:r>
          <m:t>y</m:t>
        </m:r>
        <m:r>
          <m:rPr>
            <m:sty m:val="p"/>
          </m:rPr>
          <m:t>*</m:t>
        </m:r>
        <m:r>
          <m:rPr>
            <m:sty m:val="p"/>
          </m:rPr>
          <m:t>*</m:t>
        </m:r>
      </m:oMath>
      <w:r>
        <w:t xml:space="preserve">4.38**, leaving about</w:t>
      </w:r>
      <w:r>
        <w:t xml:space="preserve"> </w:t>
      </w:r>
      <m:oMath>
        <m:r>
          <m:t>4.12</m:t>
        </m:r>
        <m:r>
          <m:rPr>
            <m:sty m:val="p"/>
          </m:rPr>
          <m:t>–</m:t>
        </m:r>
      </m:oMath>
      <w:r>
        <w:rPr>
          <w:b/>
          <w:bCs/>
        </w:rPr>
        <w:t xml:space="preserve">4.32</w:t>
      </w:r>
      <w:r>
        <w:t xml:space="preserve"> </w:t>
      </w:r>
      <w:r>
        <w:t xml:space="preserve">to reach the stated full-year range. This is consistent with management’s comment that first-half EPS could exceed second-half EPS while it retains a macro/input-cost contingency.</w:t>
      </w:r>
    </w:p>
    <w:p>
      <w:r>
        <w:pict>
          <v:rect style="width:0;height:1.5pt" o:hralign="center" o:hrstd="t" o:hr="t"/>
        </w:pict>
      </w:r>
    </w:p>
    <w:bookmarkEnd w:id="10"/>
    <w:bookmarkStart w:id="15" w:name="the-key-operating-debates"/>
    <w:p>
      <w:pPr>
        <w:pStyle w:val="Heading2"/>
      </w:pPr>
      <w:r>
        <w:t xml:space="preserve">The key operating debates</w:t>
      </w:r>
    </w:p>
    <w:bookmarkStart w:id="11" w:name="Xfe36142b3d92593daed0de12d046760433e99d0"/>
    <w:p>
      <w:pPr>
        <w:pStyle w:val="Heading3"/>
      </w:pPr>
      <w:r>
        <w:t xml:space="preserve">1. Organic growth: backlog conversion must show up now</w:t>
      </w:r>
    </w:p>
    <w:p>
      <w:pPr>
        <w:pStyle w:val="FirstParagraph"/>
      </w:pPr>
      <w:r>
        <w:t xml:space="preserve">In 1Q, 3M reported adjusted organic growth of only 1.2%, but orders rose slightly more than 10% and backlog increased double digits. Management attributed the strength to a combination of:</w:t>
      </w:r>
    </w:p>
    <w:p>
      <w:pPr>
        <w:pStyle w:val="Compact"/>
        <w:numPr>
          <w:ilvl w:val="0"/>
          <w:numId w:val="1002"/>
        </w:numPr>
      </w:pPr>
      <w:r>
        <w:t xml:space="preserve">Commercial-excellence initiatives and lower customer attrition;</w:t>
      </w:r>
    </w:p>
    <w:p>
      <w:pPr>
        <w:pStyle w:val="Compact"/>
        <w:numPr>
          <w:ilvl w:val="0"/>
          <w:numId w:val="1002"/>
        </w:numPr>
      </w:pPr>
      <w:r>
        <w:t xml:space="preserve">Faster new-product introductions;</w:t>
      </w:r>
    </w:p>
    <w:p>
      <w:pPr>
        <w:pStyle w:val="Compact"/>
        <w:numPr>
          <w:ilvl w:val="0"/>
          <w:numId w:val="1002"/>
        </w:numPr>
      </w:pPr>
      <w:r>
        <w:t xml:space="preserve">Longer-cycle demand in semiconductors and data centers;</w:t>
      </w:r>
    </w:p>
    <w:p>
      <w:pPr>
        <w:pStyle w:val="Compact"/>
        <w:numPr>
          <w:ilvl w:val="0"/>
          <w:numId w:val="1002"/>
        </w:numPr>
      </w:pPr>
      <w:r>
        <w:t xml:space="preserve">Automotive order momentum; and</w:t>
      </w:r>
    </w:p>
    <w:p>
      <w:pPr>
        <w:pStyle w:val="Compact"/>
        <w:numPr>
          <w:ilvl w:val="0"/>
          <w:numId w:val="1002"/>
        </w:numPr>
      </w:pPr>
      <w:r>
        <w:t xml:space="preserve">Some potential customer purchasing ahead of pricing actions.</w:t>
      </w:r>
    </w:p>
    <w:p>
      <w:pPr>
        <w:pStyle w:val="FirstParagraph"/>
      </w:pPr>
      <w:r>
        <w:t xml:space="preserve">The company said the stronger order trend continued into April and provided approximately 400–500 bps of incremental backlog coverage entering 2Q. The report needs to demonstrate that this signal was real demand, rather than a timing benefit.</w:t>
      </w:r>
    </w:p>
    <w:p>
      <w:pPr>
        <w:pStyle w:val="BodyText"/>
      </w:pPr>
      <w:r>
        <w:rPr>
          <w:b/>
          <w:bCs/>
        </w:rPr>
        <w:t xml:space="preserve">What matters most by segment:</w:t>
      </w:r>
    </w:p>
    <w:p>
      <w:pPr>
        <w:pStyle w:val="Compact"/>
        <w:numPr>
          <w:ilvl w:val="0"/>
          <w:numId w:val="1003"/>
        </w:numPr>
      </w:pPr>
      <w:r>
        <w:rPr>
          <w:b/>
          <w:bCs/>
        </w:rPr>
        <w:t xml:space="preserve">Safety &amp; Industrial:</w:t>
      </w:r>
      <w:r>
        <w:t xml:space="preserve"> </w:t>
      </w:r>
      <w:r>
        <w:t xml:space="preserve">The most dependable growth engine in 1Q, with 3.2% organic growth. Investors will look for continued mid-single-digit-type momentum in industrial adhesives/tapes, personal safety, electrical markets, and abrasives. Roofing granules and housing-related weakness remain offsets.</w:t>
      </w:r>
    </w:p>
    <w:p>
      <w:pPr>
        <w:pStyle w:val="Compact"/>
        <w:numPr>
          <w:ilvl w:val="0"/>
          <w:numId w:val="1003"/>
        </w:numPr>
      </w:pPr>
      <w:r>
        <w:rPr>
          <w:b/>
          <w:bCs/>
        </w:rPr>
        <w:t xml:space="preserve">Transportation &amp; Electronics:</w:t>
      </w:r>
      <w:r>
        <w:t xml:space="preserve"> </w:t>
      </w:r>
      <w:r>
        <w:t xml:space="preserve">This is the swing factor. Organic growth was down 0.3% in 1Q, but management guided to low-single-digit growth in 2Q. Data center, semiconductor, aerospace, and commercial branding need to outweigh soft consumer electronics and a still-uneven auto backdrop.</w:t>
      </w:r>
    </w:p>
    <w:p>
      <w:pPr>
        <w:pStyle w:val="Compact"/>
        <w:numPr>
          <w:ilvl w:val="0"/>
          <w:numId w:val="1003"/>
        </w:numPr>
      </w:pPr>
      <w:r>
        <w:rPr>
          <w:b/>
          <w:bCs/>
        </w:rPr>
        <w:t xml:space="preserve">Consumer:</w:t>
      </w:r>
      <w:r>
        <w:t xml:space="preserve"> </w:t>
      </w:r>
      <w:r>
        <w:t xml:space="preserve">Organic sales fell 1.3% in 1Q. Management expected flat-to-positive growth in 2Q as U.S. point-of-sale trends improved. This segment does not need to become a major growth driver, but another negative print would weaken the broader acceleration narrative.</w:t>
      </w:r>
    </w:p>
    <w:bookmarkEnd w:id="11"/>
    <w:bookmarkStart w:id="12" w:name="Xb0d12e4a6ba018128b51631aae0aea279610c85"/>
    <w:p>
      <w:pPr>
        <w:pStyle w:val="Heading3"/>
      </w:pPr>
      <w:r>
        <w:t xml:space="preserve">2. Data center and semiconductor strength are increasingly important</w:t>
      </w:r>
    </w:p>
    <w:p>
      <w:pPr>
        <w:pStyle w:val="FirstParagraph"/>
      </w:pPr>
      <w:r>
        <w:t xml:space="preserve">3M highlighted approximately</w:t>
      </w:r>
      <w:r>
        <w:t xml:space="preserve"> </w:t>
      </w:r>
      <w:r>
        <w:rPr>
          <w:b/>
          <w:bCs/>
        </w:rPr>
        <w:t xml:space="preserve">$600 million</w:t>
      </w:r>
      <w:r>
        <w:t xml:space="preserve"> </w:t>
      </w:r>
      <w:r>
        <w:t xml:space="preserve">of current revenue tied to data centers and associated power infrastructure. Its Expanded Beam Optics platform has been validated by at least one hyperscaler, with a second customer in testing, and 3M plans to more than double capacity later this year.</w:t>
      </w:r>
    </w:p>
    <w:p>
      <w:pPr>
        <w:pStyle w:val="BodyText"/>
      </w:pPr>
      <w:r>
        <w:t xml:space="preserve">This is strategically attractive because it supports the argument that 3M can reshape toward higher-growth, higher-margin verticals. But it is not yet large enough to offset a broad deterioration in consumer electronics or auto. Investors should focus on:</w:t>
      </w:r>
    </w:p>
    <w:p>
      <w:pPr>
        <w:pStyle w:val="Compact"/>
        <w:numPr>
          <w:ilvl w:val="0"/>
          <w:numId w:val="1004"/>
        </w:numPr>
      </w:pPr>
      <w:r>
        <w:t xml:space="preserve">Data-center/semiconductor growth and order trends;</w:t>
      </w:r>
    </w:p>
    <w:p>
      <w:pPr>
        <w:pStyle w:val="Compact"/>
        <w:numPr>
          <w:ilvl w:val="0"/>
          <w:numId w:val="1004"/>
        </w:numPr>
      </w:pPr>
      <w:r>
        <w:t xml:space="preserve">Evidence of capacity ramp and customer adoption;</w:t>
      </w:r>
    </w:p>
    <w:p>
      <w:pPr>
        <w:pStyle w:val="Compact"/>
        <w:numPr>
          <w:ilvl w:val="0"/>
          <w:numId w:val="1004"/>
        </w:numPr>
      </w:pPr>
      <w:r>
        <w:t xml:space="preserve">Whether electronics turns positive as management indicated; and</w:t>
      </w:r>
    </w:p>
    <w:p>
      <w:pPr>
        <w:pStyle w:val="Compact"/>
        <w:numPr>
          <w:ilvl w:val="0"/>
          <w:numId w:val="1004"/>
        </w:numPr>
      </w:pPr>
      <w:r>
        <w:t xml:space="preserve">The outlook for consumer-electronics demand in the second half.</w:t>
      </w:r>
    </w:p>
    <w:bookmarkEnd w:id="12"/>
    <w:bookmarkStart w:id="13" w:name="X574e01a31ede9d6c538ceb07f963366602d3508"/>
    <w:p>
      <w:pPr>
        <w:pStyle w:val="Heading3"/>
      </w:pPr>
      <w:r>
        <w:t xml:space="preserve">3. Margin delivery should be attainable—but price/cost is the risk</w:t>
      </w:r>
    </w:p>
    <w:p>
      <w:pPr>
        <w:pStyle w:val="FirstParagraph"/>
      </w:pPr>
      <w:r>
        <w:t xml:space="preserve">Management’s roughly</w:t>
      </w:r>
      <w:r>
        <w:t xml:space="preserve"> </w:t>
      </w:r>
      <w:r>
        <w:rPr>
          <w:b/>
          <w:bCs/>
        </w:rPr>
        <w:t xml:space="preserve">24.5%</w:t>
      </w:r>
      <w:r>
        <w:t xml:space="preserve"> </w:t>
      </w:r>
      <w:r>
        <w:t xml:space="preserve">2Q adjusted-margin guide implies a modest year-over-year improvement from 24.5% in 2Q25, despite tariffs, stranded costs, transformation spending, and growth investments.</w:t>
      </w:r>
    </w:p>
    <w:p>
      <w:pPr>
        <w:pStyle w:val="BodyText"/>
      </w:pPr>
      <w:r>
        <w:t xml:space="preserve">The margin framework rests on productivity, volume conversion, and pricing:</w:t>
      </w:r>
    </w:p>
    <w:p>
      <w:pPr>
        <w:pStyle w:val="Compact"/>
        <w:numPr>
          <w:ilvl w:val="0"/>
          <w:numId w:val="1005"/>
        </w:numPr>
      </w:pPr>
      <w:r>
        <w:t xml:space="preserve">1Q adjusted margin expanded 30 bps to 23.8%.</w:t>
      </w:r>
    </w:p>
    <w:p>
      <w:pPr>
        <w:pStyle w:val="Compact"/>
        <w:numPr>
          <w:ilvl w:val="0"/>
          <w:numId w:val="1005"/>
        </w:numPr>
      </w:pPr>
      <w:r>
        <w:t xml:space="preserve">The business groups expanded margins by 60 bps in 1Q, despite roughly $145 million of tariff impact, stranded costs, and investment.</w:t>
      </w:r>
    </w:p>
    <w:p>
      <w:pPr>
        <w:pStyle w:val="Compact"/>
        <w:numPr>
          <w:ilvl w:val="0"/>
          <w:numId w:val="1005"/>
        </w:numPr>
      </w:pPr>
      <w:r>
        <w:t xml:space="preserve">Management identified about</w:t>
      </w:r>
      <w:r>
        <w:t xml:space="preserve"> </w:t>
      </w:r>
      <w:r>
        <w:rPr>
          <w:b/>
          <w:bCs/>
        </w:rPr>
        <w:t xml:space="preserve">$125 million</w:t>
      </w:r>
      <w:r>
        <w:t xml:space="preserve"> </w:t>
      </w:r>
      <w:r>
        <w:t xml:space="preserve">of oil-related cost pressure and aimed to offset it through approximately</w:t>
      </w:r>
      <w:r>
        <w:t xml:space="preserve"> </w:t>
      </w:r>
      <w:r>
        <w:rPr>
          <w:b/>
          <w:bCs/>
        </w:rPr>
        <w:t xml:space="preserve">50 bps</w:t>
      </w:r>
      <w:r>
        <w:t xml:space="preserve"> </w:t>
      </w:r>
      <w:r>
        <w:t xml:space="preserve">of incremental price, on top of roughly 80 bps of baseline full-year pricing.</w:t>
      </w:r>
    </w:p>
    <w:p>
      <w:pPr>
        <w:pStyle w:val="FirstParagraph"/>
      </w:pPr>
      <w:r>
        <w:t xml:space="preserve">The important question is whether 3M can retain the price/cost offset without creating demand destruction or excessive channel purchasing ahead of price increases. A strong margin result accompanied by weak volume would be less constructive than margin expansion supported by genuine underlying demand.</w:t>
      </w:r>
    </w:p>
    <w:bookmarkEnd w:id="13"/>
    <w:bookmarkStart w:id="14" w:name="X19e463c735ee25de213701c4c16f95ff8ab4173"/>
    <w:p>
      <w:pPr>
        <w:pStyle w:val="Heading3"/>
      </w:pPr>
      <w:r>
        <w:t xml:space="preserve">4. Guidance is the likely stock-moving item</w:t>
      </w:r>
    </w:p>
    <w:p>
      <w:pPr>
        <w:pStyle w:val="FirstParagraph"/>
      </w:pPr>
      <w:r>
        <w:t xml:space="preserve">3M reiterated 2026 guidance after 1Q, despite saying it was operationally trending</w:t>
      </w:r>
      <w:r>
        <w:t xml:space="preserve"> </w:t>
      </w:r>
      <m:oMath>
        <m:r>
          <m:t>0.05</m:t>
        </m:r>
        <m:r>
          <m:rPr>
            <m:sty m:val="p"/>
          </m:rPr>
          <m:t>–</m:t>
        </m:r>
      </m:oMath>
      <w:r>
        <w:t xml:space="preserve">0.15 better on productivity, share repurchases, and lower interest expense. It retained the offsetting contingency because of macro uncertainty and oil-related costs.</w:t>
      </w:r>
    </w:p>
    <w:p>
      <w:pPr>
        <w:pStyle w:val="BodyText"/>
      </w:pPr>
      <w:r>
        <w:t xml:space="preserve">That sets up three broad outcomes:</w:t>
      </w:r>
    </w:p>
    <w:p>
      <w:pPr>
        <w:pStyle w:val="Compact"/>
        <w:numPr>
          <w:ilvl w:val="0"/>
          <w:numId w:val="1006"/>
        </w:numPr>
      </w:pPr>
      <w:r>
        <w:rPr>
          <w:b/>
          <w:bCs/>
        </w:rPr>
        <w:t xml:space="preserve">Constructive:</w:t>
      </w:r>
      <w:r>
        <w:t xml:space="preserve"> </w:t>
      </w:r>
      <w:r>
        <w:t xml:space="preserve">Guidance is raised, or the contingency is reduced materially. This would signal confidence that backlog conversion, productivity, and pricing are more than offsetting macro risks.</w:t>
      </w:r>
    </w:p>
    <w:p>
      <w:pPr>
        <w:pStyle w:val="Compact"/>
        <w:numPr>
          <w:ilvl w:val="0"/>
          <w:numId w:val="1006"/>
        </w:numPr>
      </w:pPr>
      <w:r>
        <w:rPr>
          <w:b/>
          <w:bCs/>
        </w:rPr>
        <w:t xml:space="preserve">Acceptable:</w:t>
      </w:r>
      <w:r>
        <w:t xml:space="preserve"> </w:t>
      </w:r>
      <w:r>
        <w:t xml:space="preserve">Guidance is reiterated, but management explicitly confirms growth above 3% and margin expansion in 2Q, with strong evidence of second-half demand momentum.</w:t>
      </w:r>
    </w:p>
    <w:p>
      <w:pPr>
        <w:pStyle w:val="Compact"/>
        <w:numPr>
          <w:ilvl w:val="0"/>
          <w:numId w:val="1006"/>
        </w:numPr>
      </w:pPr>
      <w:r>
        <w:rPr>
          <w:b/>
          <w:bCs/>
        </w:rPr>
        <w:t xml:space="preserve">Disappointing:</w:t>
      </w:r>
      <w:r>
        <w:t xml:space="preserve"> </w:t>
      </w:r>
      <w:r>
        <w:t xml:space="preserve">Guidance is held with more caution—or reduced—because pre-buying unwound, consumer electronics/auto weakened further, pricing is not sticking, or oil/input costs worsened.</w:t>
      </w:r>
    </w:p>
    <w:p>
      <w:r>
        <w:pict>
          <v:rect style="width:0;height:1.5pt" o:hralign="center" o:hrstd="t" o:hr="t"/>
        </w:pict>
      </w:r>
    </w:p>
    <w:bookmarkEnd w:id="14"/>
    <w:bookmarkEnd w:id="15"/>
    <w:bookmarkStart w:id="16" w:name="X3e1f706898d8878d6382d68c870970781eb7ff1"/>
    <w:p>
      <w:pPr>
        <w:pStyle w:val="Heading2"/>
      </w:pPr>
      <w:r>
        <w:t xml:space="preserve">Cash flow and capital deployment: do not overlook the underlying conversion</w:t>
      </w:r>
    </w:p>
    <w:p>
      <w:pPr>
        <w:pStyle w:val="FirstParagraph"/>
      </w:pPr>
      <w:r>
        <w:t xml:space="preserve">3M generated</w:t>
      </w:r>
      <w:r>
        <w:t xml:space="preserve"> </w:t>
      </w:r>
      <m:oMath>
        <m:r>
          <m:t>541</m:t>
        </m:r>
        <m:r>
          <m:t>m</m:t>
        </m:r>
        <m:r>
          <m:t>i</m:t>
        </m:r>
        <m:r>
          <m:t>l</m:t>
        </m:r>
        <m:r>
          <m:t>l</m:t>
        </m:r>
        <m:r>
          <m:t>i</m:t>
        </m:r>
        <m:r>
          <m:t>o</m:t>
        </m:r>
        <m:r>
          <m:t>n</m:t>
        </m:r>
        <m:r>
          <m:t>o</m:t>
        </m:r>
        <m:r>
          <m:t>f</m:t>
        </m:r>
        <m:r>
          <m:t>a</m:t>
        </m:r>
        <m:r>
          <m:t>d</m:t>
        </m:r>
        <m:r>
          <m:t>j</m:t>
        </m:r>
        <m:r>
          <m:t>u</m:t>
        </m:r>
        <m:r>
          <m:t>s</m:t>
        </m:r>
        <m:r>
          <m:t>t</m:t>
        </m:r>
        <m:r>
          <m:t>e</m:t>
        </m:r>
        <m:r>
          <m:t>d</m:t>
        </m:r>
        <m:r>
          <m:t>f</m:t>
        </m:r>
        <m:r>
          <m:t>r</m:t>
        </m:r>
        <m:r>
          <m:t>e</m:t>
        </m:r>
        <m:r>
          <m:t>e</m:t>
        </m:r>
        <m:r>
          <m:t>c</m:t>
        </m:r>
        <m:r>
          <m:t>a</m:t>
        </m:r>
        <m:r>
          <m:t>s</m:t>
        </m:r>
        <m:r>
          <m:t>h</m:t>
        </m:r>
        <m:r>
          <m:t>f</m:t>
        </m:r>
        <m:r>
          <m:t>l</m:t>
        </m:r>
        <m:r>
          <m:t>o</m:t>
        </m:r>
        <m:r>
          <m:t>w</m:t>
        </m:r>
        <m:r>
          <m:rPr>
            <m:sty m:val="p"/>
          </m:rPr>
          <m:t>*</m:t>
        </m:r>
        <m:r>
          <m:rPr>
            <m:sty m:val="p"/>
          </m:rPr>
          <m:t>*</m:t>
        </m:r>
        <m:r>
          <m:t>i</m:t>
        </m:r>
        <m:r>
          <m:t>n</m:t>
        </m:r>
        <m:r>
          <m:t>1</m:t>
        </m:r>
        <m:r>
          <m:t>Q</m:t>
        </m:r>
        <m:r>
          <m:t>26</m:t>
        </m:r>
        <m:r>
          <m:t>a</m:t>
        </m:r>
        <m:r>
          <m:t>n</m:t>
        </m:r>
        <m:r>
          <m:t>d</m:t>
        </m:r>
        <m:r>
          <m:t>c</m:t>
        </m:r>
        <m:r>
          <m:t>o</m:t>
        </m:r>
        <m:r>
          <m:t>n</m:t>
        </m:r>
        <m:r>
          <m:t>t</m:t>
        </m:r>
        <m:r>
          <m:t>i</m:t>
        </m:r>
        <m:r>
          <m:t>n</m:t>
        </m:r>
        <m:r>
          <m:t>u</m:t>
        </m:r>
        <m:r>
          <m:t>e</m:t>
        </m:r>
        <m:r>
          <m:t>s</m:t>
        </m:r>
        <m:r>
          <m:t>t</m:t>
        </m:r>
        <m:r>
          <m:t>o</m:t>
        </m:r>
        <m:r>
          <m:t>g</m:t>
        </m:r>
        <m:r>
          <m:t>u</m:t>
        </m:r>
        <m:r>
          <m:t>i</m:t>
        </m:r>
        <m:r>
          <m:t>d</m:t>
        </m:r>
        <m:r>
          <m:t>e</m:t>
        </m:r>
        <m:r>
          <m:t>t</m:t>
        </m:r>
        <m:r>
          <m:t>o</m:t>
        </m:r>
        <m:r>
          <m:rPr>
            <m:sty m:val="p"/>
          </m:rPr>
          <m:t>*</m:t>
        </m:r>
        <m:r>
          <m:rPr>
            <m:sty m:val="p"/>
          </m:rPr>
          <m:t>*</m:t>
        </m:r>
      </m:oMath>
      <w:r>
        <w:rPr>
          <w:b/>
          <w:bCs/>
        </w:rPr>
        <w:t xml:space="preserve">4.6–$4.8 billion</w:t>
      </w:r>
      <w:r>
        <w:t xml:space="preserve"> </w:t>
      </w:r>
      <w:r>
        <w:t xml:space="preserve">for the full year. The reported operating cash flow in 2025 was distorted by litigation payments, which makes adjusted cash conversion the more useful measure.</w:t>
      </w:r>
    </w:p>
    <w:p>
      <w:pPr>
        <w:pStyle w:val="BodyText"/>
      </w:pPr>
      <w:r>
        <w:t xml:space="preserve">Investors should watch:</w:t>
      </w:r>
    </w:p>
    <w:p>
      <w:pPr>
        <w:pStyle w:val="Compact"/>
        <w:numPr>
          <w:ilvl w:val="0"/>
          <w:numId w:val="1007"/>
        </w:numPr>
      </w:pPr>
      <w:r>
        <w:t xml:space="preserve">Inventory and receivables discipline;</w:t>
      </w:r>
    </w:p>
    <w:p>
      <w:pPr>
        <w:pStyle w:val="Compact"/>
        <w:numPr>
          <w:ilvl w:val="0"/>
          <w:numId w:val="1007"/>
        </w:numPr>
      </w:pPr>
      <w:r>
        <w:t xml:space="preserve">Any change to the &gt;100% adjusted free-cash-flow-conversion target;</w:t>
      </w:r>
    </w:p>
    <w:p>
      <w:pPr>
        <w:pStyle w:val="Compact"/>
        <w:numPr>
          <w:ilvl w:val="0"/>
          <w:numId w:val="1007"/>
        </w:numPr>
      </w:pPr>
      <w:r>
        <w:t xml:space="preserve">The cash implications of transformation and litigation payments; and</w:t>
      </w:r>
    </w:p>
    <w:p>
      <w:pPr>
        <w:pStyle w:val="Compact"/>
        <w:numPr>
          <w:ilvl w:val="0"/>
          <w:numId w:val="1007"/>
        </w:numPr>
      </w:pPr>
      <w:r>
        <w:t xml:space="preserve">Further buybacks after the company repurchased</w:t>
      </w:r>
      <w:r>
        <w:t xml:space="preserve"> </w:t>
      </w:r>
      <w:r>
        <w:rPr>
          <w:b/>
          <w:bCs/>
        </w:rPr>
        <w:t xml:space="preserve">$2 billion</w:t>
      </w:r>
      <w:r>
        <w:t xml:space="preserve"> </w:t>
      </w:r>
      <w:r>
        <w:t xml:space="preserve">of stock in 1Q.</w:t>
      </w:r>
    </w:p>
    <w:p>
      <w:pPr>
        <w:pStyle w:val="FirstParagraph"/>
      </w:pPr>
      <w:r>
        <w:t xml:space="preserve">The reduced share count is already a meaningful EPS tailwind: shares outstanding fell from about 530.3 million at year-end 2025 to 521.6 million at the end of 1Q26.</w:t>
      </w:r>
    </w:p>
    <w:p>
      <w:r>
        <w:pict>
          <v:rect style="width:0;height:1.5pt" o:hralign="center" o:hrstd="t" o:hr="t"/>
        </w:pict>
      </w:r>
    </w:p>
    <w:bookmarkEnd w:id="16"/>
    <w:bookmarkStart w:id="17" w:name="X9af69a73299d291c65fb4e89f991214260158d6"/>
    <w:p>
      <w:pPr>
        <w:pStyle w:val="Heading2"/>
      </w:pPr>
      <w:r>
        <w:t xml:space="preserve">PFAS and litigation: still a valuation overhang, even if not the operating story</w:t>
      </w:r>
    </w:p>
    <w:p>
      <w:pPr>
        <w:pStyle w:val="FirstParagraph"/>
      </w:pPr>
      <w:r>
        <w:t xml:space="preserve">3M exited manufactured PFAS production by the end of 2025, which simplifies the underlying operating comparison but does not eliminate litigation and regulatory exposure. In particular, New York filed a PFAS-related consumer-products lawsuit on</w:t>
      </w:r>
      <w:r>
        <w:t xml:space="preserve"> </w:t>
      </w:r>
      <w:r>
        <w:rPr>
          <w:b/>
          <w:bCs/>
        </w:rPr>
        <w:t xml:space="preserve">July 9, 2026</w:t>
      </w:r>
      <w:r>
        <w:t xml:space="preserve">. The near-term earnings effect is uncertain, but investors should listen for updated commentary on legal accruals, potential claims, cash-payment timing, and management’s assessment of incremental exposure.</w:t>
      </w:r>
    </w:p>
    <w:p>
      <w:pPr>
        <w:pStyle w:val="BodyText"/>
      </w:pPr>
      <w:r>
        <w:t xml:space="preserve">This issue is more likely to affect sentiment, cash-flow confidence, and valuation than 2Q operating results—unless 3M discloses a material new reserve or adverse legal development.</w:t>
      </w:r>
    </w:p>
    <w:p>
      <w:r>
        <w:pict>
          <v:rect style="width:0;height:1.5pt" o:hralign="center" o:hrstd="t" o:hr="t"/>
        </w:pict>
      </w:r>
    </w:p>
    <w:bookmarkEnd w:id="17"/>
    <w:bookmarkStart w:id="18" w:name="stock-positioning"/>
    <w:p>
      <w:pPr>
        <w:pStyle w:val="Heading2"/>
      </w:pPr>
      <w:r>
        <w:t xml:space="preserve">Stock positioning</w:t>
      </w:r>
    </w:p>
    <w:p>
      <w:pPr>
        <w:pStyle w:val="FirstParagraph"/>
      </w:pPr>
      <w:r>
        <w:t xml:space="preserve">MMM closed at</w:t>
      </w:r>
      <w:r>
        <w:t xml:space="preserve"> </w:t>
      </w:r>
      <w:r>
        <w:rPr>
          <w:b/>
          <w:bCs/>
        </w:rPr>
        <w:t xml:space="preserve">$159.14 on July 20</w:t>
      </w:r>
      <w:r>
        <w:t xml:space="preserve">, down roughly</w:t>
      </w:r>
      <w:r>
        <w:t xml:space="preserve"> </w:t>
      </w:r>
      <w:r>
        <w:rPr>
          <w:b/>
          <w:bCs/>
        </w:rPr>
        <w:t xml:space="preserve">1.7% year to date</w:t>
      </w:r>
      <w:r>
        <w:t xml:space="preserve"> </w:t>
      </w:r>
      <w:r>
        <w:t xml:space="preserve">and up about</w:t>
      </w:r>
      <w:r>
        <w:t xml:space="preserve"> </w:t>
      </w:r>
      <w:r>
        <w:rPr>
          <w:b/>
          <w:bCs/>
        </w:rPr>
        <w:t xml:space="preserve">7.2% from its April 21 closing level</w:t>
      </w:r>
      <w:r>
        <w:t xml:space="preserve"> </w:t>
      </w:r>
      <w:r>
        <w:t xml:space="preserve">following the 1Q report. The stock has not materially rallied into the event in the most recent days, suggesting that a clean confirmation of the growth-and-margin acceleration could be received constructively.</w:t>
      </w:r>
    </w:p>
    <w:p>
      <w:r>
        <w:pict>
          <v:rect style="width:0;height:1.5pt" o:hralign="center" o:hrstd="t" o:hr="t"/>
        </w:pict>
      </w:r>
    </w:p>
    <w:bookmarkEnd w:id="18"/>
    <w:bookmarkStart w:id="19" w:name="what-would-make-this-a-strong-report"/>
    <w:p>
      <w:pPr>
        <w:pStyle w:val="Heading2"/>
      </w:pPr>
      <w:r>
        <w:t xml:space="preserve">What would make this a strong report?</w:t>
      </w:r>
    </w:p>
    <w:p>
      <w:pPr>
        <w:pStyle w:val="FirstParagraph"/>
      </w:pPr>
      <w:r>
        <w:rPr>
          <w:b/>
          <w:bCs/>
        </w:rPr>
        <w:t xml:space="preserve">Bull case</w:t>
      </w:r>
    </w:p>
    <w:p>
      <w:pPr>
        <w:pStyle w:val="Compact"/>
        <w:numPr>
          <w:ilvl w:val="0"/>
          <w:numId w:val="1008"/>
        </w:numPr>
      </w:pPr>
      <w:r>
        <w:t xml:space="preserve">Organic growth clearly above 3%, with broad segment participation;</w:t>
      </w:r>
    </w:p>
    <w:p>
      <w:pPr>
        <w:pStyle w:val="Compact"/>
        <w:numPr>
          <w:ilvl w:val="0"/>
          <w:numId w:val="1008"/>
        </w:numPr>
      </w:pPr>
      <w:r>
        <w:t xml:space="preserve">Transportation &amp; Electronics turns positive and data center/semiconductor remains strong;</w:t>
      </w:r>
    </w:p>
    <w:p>
      <w:pPr>
        <w:pStyle w:val="Compact"/>
        <w:numPr>
          <w:ilvl w:val="0"/>
          <w:numId w:val="1008"/>
        </w:numPr>
      </w:pPr>
      <w:r>
        <w:t xml:space="preserve">Adjusted margin exceeds the 24.5% framework;</w:t>
      </w:r>
    </w:p>
    <w:p>
      <w:pPr>
        <w:pStyle w:val="Compact"/>
        <w:numPr>
          <w:ilvl w:val="0"/>
          <w:numId w:val="1008"/>
        </w:numPr>
      </w:pPr>
      <w:r>
        <w:t xml:space="preserve">EPS beats the $2.24 expectation;</w:t>
      </w:r>
    </w:p>
    <w:p>
      <w:pPr>
        <w:pStyle w:val="Compact"/>
        <w:numPr>
          <w:ilvl w:val="0"/>
          <w:numId w:val="1008"/>
        </w:numPr>
      </w:pPr>
      <w:r>
        <w:t xml:space="preserve">Management reduces contingency, raises guidance, or offers a more confident second-half outlook.</w:t>
      </w:r>
    </w:p>
    <w:p>
      <w:pPr>
        <w:pStyle w:val="FirstParagraph"/>
      </w:pPr>
      <w:r>
        <w:rPr>
          <w:b/>
          <w:bCs/>
        </w:rPr>
        <w:t xml:space="preserve">Base case</w:t>
      </w:r>
    </w:p>
    <w:p>
      <w:pPr>
        <w:pStyle w:val="Compact"/>
        <w:numPr>
          <w:ilvl w:val="0"/>
          <w:numId w:val="1009"/>
        </w:numPr>
      </w:pPr>
      <w:r>
        <w:t xml:space="preserve">Organic growth around 3%;</w:t>
      </w:r>
    </w:p>
    <w:p>
      <w:pPr>
        <w:pStyle w:val="Compact"/>
        <w:numPr>
          <w:ilvl w:val="0"/>
          <w:numId w:val="1009"/>
        </w:numPr>
      </w:pPr>
      <w:r>
        <w:t xml:space="preserve">Margin near 24.5%–24.7%;</w:t>
      </w:r>
    </w:p>
    <w:p>
      <w:pPr>
        <w:pStyle w:val="Compact"/>
        <w:numPr>
          <w:ilvl w:val="0"/>
          <w:numId w:val="1009"/>
        </w:numPr>
      </w:pPr>
      <w:r>
        <w:t xml:space="preserve">EPS near consensus;</w:t>
      </w:r>
    </w:p>
    <w:p>
      <w:pPr>
        <w:pStyle w:val="Compact"/>
        <w:numPr>
          <w:ilvl w:val="0"/>
          <w:numId w:val="1009"/>
        </w:numPr>
      </w:pPr>
      <w:r>
        <w:t xml:space="preserve">Guidance reiterated, with management maintaining that second-half growth improves;</w:t>
      </w:r>
    </w:p>
    <w:p>
      <w:pPr>
        <w:pStyle w:val="Compact"/>
        <w:numPr>
          <w:ilvl w:val="0"/>
          <w:numId w:val="1009"/>
        </w:numPr>
      </w:pPr>
      <w:r>
        <w:t xml:space="preserve">Some acknowledgment that 1Q/early-2Q orders contained pre-buying, but no material demand unwind.</w:t>
      </w:r>
    </w:p>
    <w:p>
      <w:pPr>
        <w:pStyle w:val="FirstParagraph"/>
      </w:pPr>
      <w:r>
        <w:rPr>
          <w:b/>
          <w:bCs/>
        </w:rPr>
        <w:t xml:space="preserve">Bear case</w:t>
      </w:r>
    </w:p>
    <w:p>
      <w:pPr>
        <w:pStyle w:val="Compact"/>
        <w:numPr>
          <w:ilvl w:val="0"/>
          <w:numId w:val="1010"/>
        </w:numPr>
      </w:pPr>
      <w:r>
        <w:t xml:space="preserve">Sub-3% organic growth, especially if Transportation &amp; Electronics or Consumer remains negative;</w:t>
      </w:r>
    </w:p>
    <w:p>
      <w:pPr>
        <w:pStyle w:val="Compact"/>
        <w:numPr>
          <w:ilvl w:val="0"/>
          <w:numId w:val="1010"/>
        </w:numPr>
      </w:pPr>
      <w:r>
        <w:t xml:space="preserve">Margin misses from price/cost pressure, lower volume conversion, or elevated transformation costs;</w:t>
      </w:r>
    </w:p>
    <w:p>
      <w:pPr>
        <w:pStyle w:val="Compact"/>
        <w:numPr>
          <w:ilvl w:val="0"/>
          <w:numId w:val="1010"/>
        </w:numPr>
      </w:pPr>
      <w:r>
        <w:t xml:space="preserve">Evidence that price-related orders pulled demand forward;</w:t>
      </w:r>
    </w:p>
    <w:p>
      <w:pPr>
        <w:pStyle w:val="Compact"/>
        <w:numPr>
          <w:ilvl w:val="0"/>
          <w:numId w:val="1010"/>
        </w:numPr>
      </w:pPr>
      <w:r>
        <w:t xml:space="preserve">Continued full-year contingency with more cautious commentary, or a guidance reduction.</w:t>
      </w:r>
    </w:p>
    <w:bookmarkEnd w:id="19"/>
    <w:bookmarkStart w:id="20" w:name="bottom-line"/>
    <w:p>
      <w:pPr>
        <w:pStyle w:val="Heading2"/>
      </w:pPr>
      <w:r>
        <w:t xml:space="preserve">Bottom line</w:t>
      </w:r>
    </w:p>
    <w:p>
      <w:pPr>
        <w:pStyle w:val="FirstParagraph"/>
      </w:pPr>
      <w:r>
        <w:t xml:space="preserve">The core 2Q26 test is straightforward:</w:t>
      </w:r>
      <w:r>
        <w:t xml:space="preserve"> </w:t>
      </w:r>
      <w:r>
        <w:rPr>
          <w:b/>
          <w:bCs/>
        </w:rPr>
        <w:t xml:space="preserve">3M needs to convert its unusually strong 1Q order and backlog signals into revenue while protecting margins.</w:t>
      </w:r>
      <w:r>
        <w:t xml:space="preserve"> </w:t>
      </w:r>
      <w:r>
        <w:t xml:space="preserve">Consensus estimates are broadly consistent with management’s own April outlook, so the upside catalyst is a more credible path to removing the full-year contingency and sustaining higher growth into 2027. Conversely, weak conversion in T&amp;E or Consumer, or signs that price-related pre-buying flattered demand, would challenge the turnaround narrative even if EPS is mechanically supported by buybacks and productivity.</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2026-07-21T00:42:18Z</dcterms:created>
  <dcterms:modified xsi:type="dcterms:W3CDTF">2026-07-21T00:42:18Z</dcterms:modified>
</cp:coreProperties>
</file>

<file path=docProps/custom.xml><?xml version="1.0" encoding="utf-8"?>
<Properties xmlns="http://schemas.openxmlformats.org/officeDocument/2006/custom-properties" xmlns:vt="http://schemas.openxmlformats.org/officeDocument/2006/docPropsVTypes"/>
</file>