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mm-earnings-predictions--2026-07-21"/>
    <w:p>
      <w:pPr>
        <w:pStyle w:val="Heading1"/>
      </w:pPr>
      <w:r>
        <w:t xml:space="preserve">MMM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(adj., 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3.22% (Visible Alpha, Jul 18,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$2.25 (Visible Alpha, Jul 18,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adj.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~24.6% vs. cons 24.56% (Visible Alpha, Jul 18,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8.65</m:t>
              </m:r>
              <m:r>
                <m:rPr>
                  <m:sty m:val="p"/>
                </m:rPr>
                <m:t>−</m:t>
              </m:r>
            </m:oMath>
            <w:r>
              <w:t xml:space="preserve">8.85 (mid $8.75) vs. cons $8.75 (Visible Alpha, Jul 18,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'above 3%' or '~3-3.5%' vs. cons 2.97% (Visible Alpha, Jul 18,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continued acceleration, SIBG 3.5-4%, TEBG accelerating on data center/EBO ramp vs. cons ~3.5%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Archetype A 5-day pattern shows follow-through in comparable quarters (+5.5% to +6.2%), but FY raise is likely raise-to-consensus rather than raise-above, limiting estimate revision momentum. Stabilize near Day-1 level.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2026-07-24T22:22:26Z</dcterms:created>
  <dcterms:modified xsi:type="dcterms:W3CDTF">2026-07-24T22:22:26Z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