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3M Company (MMM) — Q2 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Company</w:t>
            </w:r>
          </w:p>
        </w:tc>
        <w:tc>
          <w:tcPr>
            <w:tcW w:type="dxa" w:w="2160"/>
          </w:tcPr>
          <w:p>
            <w:r>
              <w:rPr>
                <w:rFonts w:ascii="Calibri" w:hAnsi="Calibri"/>
                <w:sz w:val="22"/>
              </w:rPr>
              <w:t>3M Company</w:t>
            </w:r>
          </w:p>
        </w:tc>
        <w:tc>
          <w:tcPr>
            <w:tcW w:type="dxa" w:w="2160"/>
          </w:tcPr>
          <w:p>
            <w:r>
              <w:rPr>
                <w:rFonts w:ascii="Calibri" w:hAnsi="Calibri"/>
                <w:b/>
                <w:sz w:val="22"/>
              </w:rPr>
              <w:t>Upcoming Earnings Date</w:t>
            </w:r>
          </w:p>
        </w:tc>
        <w:tc>
          <w:tcPr>
            <w:tcW w:type="dxa" w:w="2160"/>
          </w:tcPr>
          <w:p>
            <w:r>
              <w:rPr>
                <w:rFonts w:ascii="Calibri" w:hAnsi="Calibri"/>
                <w:sz w:val="22"/>
              </w:rPr>
              <w:t>~July 22, 2026 (est.)</w:t>
            </w:r>
          </w:p>
        </w:tc>
      </w:tr>
      <w:tr>
        <w:tc>
          <w:tcPr>
            <w:tcW w:type="dxa" w:w="2160"/>
          </w:tcPr>
          <w:p>
            <w:r>
              <w:rPr>
                <w:rFonts w:ascii="Calibri" w:hAnsi="Calibri"/>
                <w:b/>
                <w:sz w:val="22"/>
              </w:rPr>
              <w:t>Ticker</w:t>
            </w:r>
          </w:p>
        </w:tc>
        <w:tc>
          <w:tcPr>
            <w:tcW w:type="dxa" w:w="2160"/>
          </w:tcPr>
          <w:p>
            <w:r>
              <w:rPr>
                <w:rFonts w:ascii="Calibri" w:hAnsi="Calibri"/>
                <w:sz w:val="22"/>
              </w:rPr>
              <w:t>MMM</w:t>
            </w:r>
          </w:p>
        </w:tc>
        <w:tc>
          <w:tcPr>
            <w:tcW w:type="dxa" w:w="2160"/>
          </w:tcPr>
          <w:p>
            <w:r>
              <w:rPr>
                <w:rFonts w:ascii="Calibri" w:hAnsi="Calibri"/>
                <w:b/>
                <w:sz w:val="22"/>
              </w:rPr>
              <w:t>Last Earnings</w:t>
            </w:r>
          </w:p>
        </w:tc>
        <w:tc>
          <w:tcPr>
            <w:tcW w:type="dxa" w:w="2160"/>
          </w:tcPr>
          <w:p>
            <w:r>
              <w:rPr>
                <w:rFonts w:ascii="Calibri" w:hAnsi="Calibri"/>
                <w:sz w:val="22"/>
              </w:rPr>
              <w:t>April 21, 2026 (Q1 2026)</w:t>
            </w:r>
          </w:p>
        </w:tc>
      </w:tr>
      <w:tr>
        <w:tc>
          <w:tcPr>
            <w:tcW w:type="dxa" w:w="2160"/>
          </w:tcPr>
          <w:p>
            <w:r>
              <w:rPr>
                <w:rFonts w:ascii="Calibri" w:hAnsi="Calibri"/>
                <w:b/>
                <w:sz w:val="22"/>
              </w:rPr>
              <w:t>Reporting Period</w:t>
            </w:r>
          </w:p>
        </w:tc>
        <w:tc>
          <w:tcPr>
            <w:tcW w:type="dxa" w:w="2160"/>
          </w:tcPr>
          <w:p>
            <w:r>
              <w:rPr>
                <w:rFonts w:ascii="Calibri" w:hAnsi="Calibri"/>
                <w:sz w:val="22"/>
              </w:rPr>
              <w:t>Q2 2026 (quarter ended June 30, 2026)</w:t>
            </w:r>
          </w:p>
        </w:tc>
        <w:tc>
          <w:tcPr>
            <w:tcW w:type="dxa" w:w="2160"/>
          </w:tcPr>
          <w:p>
            <w:r>
              <w:rPr>
                <w:rFonts w:ascii="Calibri" w:hAnsi="Calibri"/>
                <w:b/>
                <w:sz w:val="22"/>
              </w:rPr>
              <w:t>Prepared Date</w:t>
            </w:r>
          </w:p>
        </w:tc>
        <w:tc>
          <w:tcPr>
            <w:tcW w:type="dxa" w:w="2160"/>
          </w:tcPr>
          <w:p>
            <w:r>
              <w:rPr>
                <w:rFonts w:ascii="Calibri" w:hAnsi="Calibri"/>
                <w:sz w:val="22"/>
              </w:rPr>
              <w:t>July 20, 2026</w:t>
            </w:r>
          </w:p>
        </w:tc>
      </w:tr>
    </w:tbl>
    <w:p>
      <w:r>
        <w:rPr>
          <w:rFonts w:ascii="Calibri" w:hAnsi="Calibri"/>
          <w:b/>
          <w:color w:val="525866"/>
          <w:sz w:val="22"/>
        </w:rPr>
        <w:t xml:space="preserve">Bar: </w:t>
      </w:r>
      <w:r>
        <w:rPr>
          <w:rFonts w:ascii="Calibri" w:hAnsi="Calibri"/>
          <w:color w:val="525866"/>
          <w:sz w:val="22"/>
        </w:rPr>
        <w:t>Consensus organic growth of ~3.2% is a modest bar given management's explicit pre-guidance of "solidly above 3%" at the June Wells Fargo conference. On EPS, consensus of ~$2.25 is above Q2 2025's $2.16 actual and consistent with management's Q1 call commentary that Q2 EPS should grow more than $0.05 sequentially from Q1's $2.14.</w:t>
      </w:r>
    </w:p>
    <w:p>
      <w:r>
        <w:rPr>
          <w:rFonts w:ascii="Calibri" w:hAnsi="Calibri"/>
          <w:b/>
          <w:color w:val="525866"/>
          <w:sz w:val="22"/>
        </w:rPr>
        <w:t xml:space="preserve">Guidance/Tone: </w:t>
      </w:r>
      <w:r>
        <w:rPr>
          <w:rFonts w:ascii="Calibri" w:hAnsi="Calibri"/>
          <w:color w:val="525866"/>
          <w:sz w:val="22"/>
        </w:rPr>
        <w:t>Management's tone has shifted meaningfully more confident since Q1 earnings. At the June 10 Wells Fargo conference, CEO Brown confirmed Q2 organic growth will be solidly above the prior guidance of "above 3%", stated the macro contingency is not expected to be needed, and characterized sustained order momentum through April, May, and into June as driven by commercial excellence and innovation — not pre-buy. The Madison Fire &amp; Rescue JV closed July 1, adding a new division within Safety &amp; Industrial starting Q3.</w:t>
      </w:r>
    </w:p>
    <w:p>
      <w:r>
        <w:rPr>
          <w:rFonts w:ascii="Calibri" w:hAnsi="Calibri"/>
          <w:b/>
          <w:color w:val="525866"/>
          <w:sz w:val="22"/>
        </w:rPr>
        <w:t xml:space="preserve">Estimate Trajectory: </w:t>
      </w:r>
      <w:r>
        <w:rPr>
          <w:rFonts w:ascii="Calibri" w:hAnsi="Calibri"/>
          <w:color w:val="525866"/>
          <w:sz w:val="22"/>
        </w:rPr>
        <w:t>Estimates have drifted modestly higher since Q1 earnings, consistent with management's upward pre-guidance. The company is tracking $0.05–$0.15 above the midpoint of its full-year EPS guidance range ($8.50–$8.70) on productivity momentum, lower share count, and lower interest expense — suggesting the street's full-year numbers may still have room to move up if Q2 delivers.</w:t>
      </w:r>
    </w:p>
    <w:p>
      <w:r>
        <w:rPr>
          <w:rFonts w:ascii="Calibri" w:hAnsi="Calibri"/>
          <w:b/>
          <w:color w:val="525866"/>
          <w:sz w:val="22"/>
        </w:rPr>
        <w:t xml:space="preserve">Stock Setup: </w:t>
      </w:r>
      <w:r>
        <w:rPr>
          <w:rFonts w:ascii="Calibri" w:hAnsi="Calibri"/>
          <w:color w:val="525866"/>
          <w:sz w:val="22"/>
        </w:rPr>
        <w:t>MMM has outperformed both XLI (+3.9%) and SPY (+5.4%) since Q1 earnings, gaining ~7.2% to ~$159. The stock is not cheap on an absolute basis, but the margin expansion story (operating margin guided ~24.5% for Q2 vs. 24.5% consensus) and the EBO/data center optionality provide a credible path to multiple re-rating if execution continues.</w:t>
      </w:r>
    </w:p>
    <w:p>
      <w:r>
        <w:rPr>
          <w:rFonts w:ascii="Calibri" w:hAnsi="Calibri"/>
          <w:b/>
          <w:color w:val="525866"/>
          <w:sz w:val="22"/>
        </w:rPr>
        <w:t xml:space="preserve">Wildcard: </w:t>
      </w:r>
      <w:r>
        <w:rPr>
          <w:rFonts w:ascii="Calibri" w:hAnsi="Calibri"/>
          <w:color w:val="525866"/>
          <w:sz w:val="22"/>
        </w:rPr>
        <w:t>The EBO data center ramp is the single biggest swing factor. Management revised the TAM from &gt;$1B to &gt;$2B within 90 days of Q1 earnings, placed the first hyperscaler order for back-half delivery, and acknowledged capacity expansion may be insufficient. Any commentary on order acceleration, additional hyperscaler wins, or capacity investment could move the stock materially in either direction.</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sets a manageable bar — organic growth of ~3.2% and adj. EPS of ~$2.25 are both consistent with management's explicit pre-guidance. Operating margin (~24.6% consensus) is the bigger swing factor, as productivity execution and EBO mix could push it above the guided ~24.5%.</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 vs. Guidance</w:t>
            </w:r>
          </w:p>
        </w:tc>
      </w:tr>
      <w:tr>
        <w:tc>
          <w:tcPr>
            <w:tcW w:type="dxa" w:w="1234"/>
          </w:tcPr>
          <w:p>
            <w:r>
              <w:rPr>
                <w:rFonts w:ascii="Calibri" w:hAnsi="Calibri"/>
                <w:sz w:val="22"/>
              </w:rPr>
              <w:t>Net Sales - Operating ($B)</w:t>
            </w:r>
          </w:p>
        </w:tc>
        <w:tc>
          <w:tcPr>
            <w:tcW w:type="dxa" w:w="1234"/>
          </w:tcPr>
          <w:p>
            <w:r>
              <w:rPr>
                <w:rFonts w:ascii="Calibri" w:hAnsi="Calibri"/>
                <w:sz w:val="22"/>
              </w:rPr>
              <w:t>$6.003B</w:t>
            </w:r>
          </w:p>
        </w:tc>
        <w:tc>
          <w:tcPr>
            <w:tcW w:type="dxa" w:w="1234"/>
          </w:tcPr>
          <w:p>
            <w:r>
              <w:rPr>
                <w:rFonts w:ascii="Calibri" w:hAnsi="Calibri"/>
                <w:sz w:val="22"/>
              </w:rPr>
              <w:t>$6.158B</w:t>
            </w:r>
          </w:p>
        </w:tc>
        <w:tc>
          <w:tcPr>
            <w:tcW w:type="dxa" w:w="1234"/>
          </w:tcPr>
          <w:p>
            <w:r>
              <w:rPr>
                <w:rFonts w:ascii="Calibri" w:hAnsi="Calibri"/>
                <w:sz w:val="22"/>
              </w:rPr>
              <w:t>$6.411B</w:t>
            </w:r>
          </w:p>
        </w:tc>
        <w:tc>
          <w:tcPr>
            <w:tcW w:type="dxa" w:w="1234"/>
          </w:tcPr>
          <w:p>
            <w:r>
              <w:rPr>
                <w:rFonts w:ascii="Calibri" w:hAnsi="Calibri"/>
                <w:sz w:val="22"/>
              </w:rPr>
              <w:t>+4.1%</w:t>
            </w:r>
          </w:p>
        </w:tc>
        <w:tc>
          <w:tcPr>
            <w:tcW w:type="dxa" w:w="1234"/>
          </w:tcPr>
          <w:p>
            <w:r>
              <w:rPr>
                <w:rFonts w:ascii="Calibri" w:hAnsi="Calibri"/>
                <w:sz w:val="22"/>
              </w:rPr>
              <w:t>Organic growth &gt;3% (all BGs accelerating)</w:t>
            </w:r>
          </w:p>
        </w:tc>
        <w:tc>
          <w:tcPr>
            <w:tcW w:type="dxa" w:w="1234"/>
          </w:tcPr>
          <w:p>
            <w:r>
              <w:rPr>
                <w:rFonts w:ascii="Calibri" w:hAnsi="Calibri"/>
                <w:sz w:val="22"/>
              </w:rPr>
              <w:t>~+1.2% above implied floor</w:t>
            </w:r>
          </w:p>
        </w:tc>
      </w:tr>
      <w:tr>
        <w:tc>
          <w:tcPr>
            <w:tcW w:type="dxa" w:w="1234"/>
          </w:tcPr>
          <w:p>
            <w:r>
              <w:rPr>
                <w:rFonts w:ascii="Calibri" w:hAnsi="Calibri"/>
                <w:sz w:val="22"/>
              </w:rPr>
              <w:t>Organic Growth - Operating (%)</w:t>
            </w:r>
          </w:p>
        </w:tc>
        <w:tc>
          <w:tcPr>
            <w:tcW w:type="dxa" w:w="1234"/>
          </w:tcPr>
          <w:p>
            <w:r>
              <w:rPr>
                <w:rFonts w:ascii="Calibri" w:hAnsi="Calibri"/>
                <w:sz w:val="22"/>
              </w:rPr>
              <w:t>1.2%</w:t>
            </w:r>
          </w:p>
        </w:tc>
        <w:tc>
          <w:tcPr>
            <w:tcW w:type="dxa" w:w="1234"/>
          </w:tcPr>
          <w:p>
            <w:r>
              <w:rPr>
                <w:rFonts w:ascii="Calibri" w:hAnsi="Calibri"/>
                <w:sz w:val="22"/>
              </w:rPr>
              <w:t>1.5%</w:t>
            </w:r>
          </w:p>
        </w:tc>
        <w:tc>
          <w:tcPr>
            <w:tcW w:type="dxa" w:w="1234"/>
          </w:tcPr>
          <w:p>
            <w:r>
              <w:rPr>
                <w:rFonts w:ascii="Calibri" w:hAnsi="Calibri"/>
                <w:sz w:val="22"/>
              </w:rPr>
              <w:t>3.2%</w:t>
            </w:r>
          </w:p>
        </w:tc>
        <w:tc>
          <w:tcPr>
            <w:tcW w:type="dxa" w:w="1234"/>
          </w:tcPr>
          <w:p>
            <w:r>
              <w:rPr>
                <w:rFonts w:ascii="Calibri" w:hAnsi="Calibri"/>
                <w:sz w:val="22"/>
              </w:rPr>
              <w:t>+170 bps YoY</w:t>
            </w:r>
          </w:p>
        </w:tc>
        <w:tc>
          <w:tcPr>
            <w:tcW w:type="dxa" w:w="1234"/>
          </w:tcPr>
          <w:p>
            <w:r>
              <w:rPr>
                <w:rFonts w:ascii="Calibri" w:hAnsi="Calibri"/>
                <w:sz w:val="22"/>
              </w:rPr>
              <w:t>"Solidly above 3%" (Wells Fargo, Jun 10)</w:t>
            </w:r>
          </w:p>
        </w:tc>
        <w:tc>
          <w:tcPr>
            <w:tcW w:type="dxa" w:w="1234"/>
          </w:tcPr>
          <w:p>
            <w:r>
              <w:rPr>
                <w:rFonts w:ascii="Calibri" w:hAnsi="Calibri"/>
                <w:sz w:val="22"/>
              </w:rPr>
              <w:t>~+20 bps above floor</w:t>
            </w:r>
          </w:p>
        </w:tc>
      </w:tr>
      <w:tr>
        <w:tc>
          <w:tcPr>
            <w:tcW w:type="dxa" w:w="1234"/>
          </w:tcPr>
          <w:p>
            <w:r>
              <w:rPr>
                <w:rFonts w:ascii="Calibri" w:hAnsi="Calibri"/>
                <w:sz w:val="22"/>
              </w:rPr>
              <w:t>Adj. EPS - Diluted - Operating ($)</w:t>
            </w:r>
          </w:p>
        </w:tc>
        <w:tc>
          <w:tcPr>
            <w:tcW w:type="dxa" w:w="1234"/>
          </w:tcPr>
          <w:p>
            <w:r>
              <w:rPr>
                <w:rFonts w:ascii="Calibri" w:hAnsi="Calibri"/>
                <w:sz w:val="22"/>
              </w:rPr>
              <w:t>$2.14</w:t>
            </w:r>
          </w:p>
        </w:tc>
        <w:tc>
          <w:tcPr>
            <w:tcW w:type="dxa" w:w="1234"/>
          </w:tcPr>
          <w:p>
            <w:r>
              <w:rPr>
                <w:rFonts w:ascii="Calibri" w:hAnsi="Calibri"/>
                <w:sz w:val="22"/>
              </w:rPr>
              <w:t>$2.16</w:t>
            </w:r>
          </w:p>
        </w:tc>
        <w:tc>
          <w:tcPr>
            <w:tcW w:type="dxa" w:w="1234"/>
          </w:tcPr>
          <w:p>
            <w:r>
              <w:rPr>
                <w:rFonts w:ascii="Calibri" w:hAnsi="Calibri"/>
                <w:sz w:val="22"/>
              </w:rPr>
              <w:t>$2.25</w:t>
            </w:r>
          </w:p>
        </w:tc>
        <w:tc>
          <w:tcPr>
            <w:tcW w:type="dxa" w:w="1234"/>
          </w:tcPr>
          <w:p>
            <w:r>
              <w:rPr>
                <w:rFonts w:ascii="Calibri" w:hAnsi="Calibri"/>
                <w:sz w:val="22"/>
              </w:rPr>
              <w:t>+4.2% YoY</w:t>
            </w:r>
          </w:p>
        </w:tc>
        <w:tc>
          <w:tcPr>
            <w:tcW w:type="dxa" w:w="1234"/>
          </w:tcPr>
          <w:p>
            <w:r>
              <w:rPr>
                <w:rFonts w:ascii="Calibri" w:hAnsi="Calibri"/>
                <w:sz w:val="22"/>
              </w:rPr>
              <w:t>Grow &gt;$0.05 vs. Q1 2026 ($2.14); FY $8.50–$8.70</w:t>
            </w:r>
          </w:p>
        </w:tc>
        <w:tc>
          <w:tcPr>
            <w:tcW w:type="dxa" w:w="1234"/>
          </w:tcPr>
          <w:p>
            <w:r>
              <w:rPr>
                <w:rFonts w:ascii="Calibri" w:hAnsi="Calibri"/>
                <w:sz w:val="22"/>
              </w:rPr>
              <w:t>+$0.11 above Q1 floor; in-line with FY cadence</w:t>
            </w:r>
          </w:p>
        </w:tc>
      </w:tr>
      <w:tr>
        <w:tc>
          <w:tcPr>
            <w:tcW w:type="dxa" w:w="1234"/>
          </w:tcPr>
          <w:p>
            <w:r>
              <w:rPr>
                <w:rFonts w:ascii="Calibri" w:hAnsi="Calibri"/>
                <w:sz w:val="22"/>
              </w:rPr>
              <w:t>Operating Margin - Operating (%)</w:t>
            </w:r>
          </w:p>
        </w:tc>
        <w:tc>
          <w:tcPr>
            <w:tcW w:type="dxa" w:w="1234"/>
          </w:tcPr>
          <w:p>
            <w:r>
              <w:rPr>
                <w:rFonts w:ascii="Calibri" w:hAnsi="Calibri"/>
                <w:sz w:val="22"/>
              </w:rPr>
              <w:t>23.8%</w:t>
            </w:r>
          </w:p>
        </w:tc>
        <w:tc>
          <w:tcPr>
            <w:tcW w:type="dxa" w:w="1234"/>
          </w:tcPr>
          <w:p>
            <w:r>
              <w:rPr>
                <w:rFonts w:ascii="Calibri" w:hAnsi="Calibri"/>
                <w:sz w:val="22"/>
              </w:rPr>
              <w:t>24.5%</w:t>
            </w:r>
          </w:p>
        </w:tc>
        <w:tc>
          <w:tcPr>
            <w:tcW w:type="dxa" w:w="1234"/>
          </w:tcPr>
          <w:p>
            <w:r>
              <w:rPr>
                <w:rFonts w:ascii="Calibri" w:hAnsi="Calibri"/>
                <w:sz w:val="22"/>
              </w:rPr>
              <w:t>24.6%</w:t>
            </w:r>
          </w:p>
        </w:tc>
        <w:tc>
          <w:tcPr>
            <w:tcW w:type="dxa" w:w="1234"/>
          </w:tcPr>
          <w:p>
            <w:r>
              <w:rPr>
                <w:rFonts w:ascii="Calibri" w:hAnsi="Calibri"/>
                <w:sz w:val="22"/>
              </w:rPr>
              <w:t>+10 bps YoY</w:t>
            </w:r>
          </w:p>
        </w:tc>
        <w:tc>
          <w:tcPr>
            <w:tcW w:type="dxa" w:w="1234"/>
          </w:tcPr>
          <w:p>
            <w:r>
              <w:rPr>
                <w:rFonts w:ascii="Calibri" w:hAnsi="Calibri"/>
                <w:sz w:val="22"/>
              </w:rPr>
              <w:t>~24.5% (Q1 2026 earnings call)</w:t>
            </w:r>
          </w:p>
        </w:tc>
        <w:tc>
          <w:tcPr>
            <w:tcW w:type="dxa" w:w="1234"/>
          </w:tcPr>
          <w:p>
            <w:r>
              <w:rPr>
                <w:rFonts w:ascii="Calibri" w:hAnsi="Calibri"/>
                <w:sz w:val="22"/>
              </w:rPr>
              <w:t>+10 bps above guidance midpoint</w:t>
            </w:r>
          </w:p>
        </w:tc>
      </w:tr>
      <w:tr>
        <w:tc>
          <w:tcPr>
            <w:tcW w:type="dxa" w:w="1234"/>
          </w:tcPr>
          <w:p>
            <w:r>
              <w:rPr>
                <w:rFonts w:ascii="Calibri" w:hAnsi="Calibri"/>
                <w:sz w:val="22"/>
              </w:rPr>
              <w:t>Operating Income - Operating ($B)</w:t>
            </w:r>
          </w:p>
        </w:tc>
        <w:tc>
          <w:tcPr>
            <w:tcW w:type="dxa" w:w="1234"/>
          </w:tcPr>
          <w:p>
            <w:r>
              <w:rPr>
                <w:rFonts w:ascii="Calibri" w:hAnsi="Calibri"/>
                <w:sz w:val="22"/>
              </w:rPr>
              <w:t>$1.426B</w:t>
            </w:r>
          </w:p>
        </w:tc>
        <w:tc>
          <w:tcPr>
            <w:tcW w:type="dxa" w:w="1234"/>
          </w:tcPr>
          <w:p>
            <w:r>
              <w:rPr>
                <w:rFonts w:ascii="Calibri" w:hAnsi="Calibri"/>
                <w:sz w:val="22"/>
              </w:rPr>
              <w:t>$1.507B</w:t>
            </w:r>
          </w:p>
        </w:tc>
        <w:tc>
          <w:tcPr>
            <w:tcW w:type="dxa" w:w="1234"/>
          </w:tcPr>
          <w:p>
            <w:r>
              <w:rPr>
                <w:rFonts w:ascii="Calibri" w:hAnsi="Calibri"/>
                <w:sz w:val="22"/>
              </w:rPr>
              <w:t>$1.574B</w:t>
            </w:r>
          </w:p>
        </w:tc>
        <w:tc>
          <w:tcPr>
            <w:tcW w:type="dxa" w:w="1234"/>
          </w:tcPr>
          <w:p>
            <w:r>
              <w:rPr>
                <w:rFonts w:ascii="Calibri" w:hAnsi="Calibri"/>
                <w:sz w:val="22"/>
              </w:rPr>
              <w:t>+4.4% YoY</w:t>
            </w:r>
          </w:p>
        </w:tc>
        <w:tc>
          <w:tcPr>
            <w:tcW w:type="dxa" w:w="1234"/>
          </w:tcPr>
          <w:p>
            <w:r>
              <w:rPr>
                <w:rFonts w:ascii="Calibri" w:hAnsi="Calibri"/>
                <w:sz w:val="22"/>
              </w:rPr>
              <w:t>Implied by margin/revenue guidance</w:t>
            </w:r>
          </w:p>
        </w:tc>
        <w:tc>
          <w:tcPr>
            <w:tcW w:type="dxa" w:w="1234"/>
          </w:tcPr>
          <w:p>
            <w:r>
              <w:rPr>
                <w:rFonts w:ascii="Calibri" w:hAnsi="Calibri"/>
                <w:sz w:val="22"/>
              </w:rPr>
              <w:t>Consistent with guidance</w:t>
            </w:r>
          </w:p>
        </w:tc>
      </w:tr>
      <w:tr>
        <w:tc>
          <w:tcPr>
            <w:tcW w:type="dxa" w:w="1234"/>
          </w:tcPr>
          <w:p>
            <w:r>
              <w:rPr>
                <w:rFonts w:ascii="Calibri" w:hAnsi="Calibri"/>
                <w:sz w:val="22"/>
              </w:rPr>
              <w:t>Free Cash Flow - Operating ($B)</w:t>
            </w:r>
          </w:p>
        </w:tc>
        <w:tc>
          <w:tcPr>
            <w:tcW w:type="dxa" w:w="1234"/>
          </w:tcPr>
          <w:p>
            <w:r>
              <w:rPr>
                <w:rFonts w:ascii="Calibri" w:hAnsi="Calibri"/>
                <w:sz w:val="22"/>
              </w:rPr>
              <w:t>$0.541B</w:t>
            </w:r>
          </w:p>
        </w:tc>
        <w:tc>
          <w:tcPr>
            <w:tcW w:type="dxa" w:w="1234"/>
          </w:tcPr>
          <w:p>
            <w:r>
              <w:rPr>
                <w:rFonts w:ascii="Calibri" w:hAnsi="Calibri"/>
                <w:sz w:val="22"/>
              </w:rPr>
              <w:t>$1.284B</w:t>
            </w:r>
          </w:p>
        </w:tc>
        <w:tc>
          <w:tcPr>
            <w:tcW w:type="dxa" w:w="1234"/>
          </w:tcPr>
          <w:p>
            <w:r>
              <w:rPr>
                <w:rFonts w:ascii="Calibri" w:hAnsi="Calibri"/>
                <w:sz w:val="22"/>
              </w:rPr>
              <w:t>$1.051B</w:t>
            </w:r>
          </w:p>
        </w:tc>
        <w:tc>
          <w:tcPr>
            <w:tcW w:type="dxa" w:w="1234"/>
          </w:tcPr>
          <w:p>
            <w:r>
              <w:rPr>
                <w:rFonts w:ascii="Calibri" w:hAnsi="Calibri"/>
                <w:sz w:val="22"/>
              </w:rPr>
              <w:t>-18.1% YoY</w:t>
            </w:r>
          </w:p>
        </w:tc>
        <w:tc>
          <w:tcPr>
            <w:tcW w:type="dxa" w:w="1234"/>
          </w:tcPr>
          <w:p>
            <w:r>
              <w:rPr>
                <w:rFonts w:ascii="Calibri" w:hAnsi="Calibri"/>
                <w:sz w:val="22"/>
              </w:rPr>
              <w:t>FY &gt;$4.5B; &gt;100% conversion</w:t>
            </w:r>
          </w:p>
        </w:tc>
        <w:tc>
          <w:tcPr>
            <w:tcW w:type="dxa" w:w="1234"/>
          </w:tcPr>
          <w:p>
            <w:r>
              <w:rPr>
                <w:rFonts w:ascii="Calibri" w:hAnsi="Calibri"/>
                <w:sz w:val="22"/>
              </w:rPr>
              <w:t>N/A — quarterly FCF not guided explicitly</w:t>
            </w:r>
          </w:p>
        </w:tc>
      </w:tr>
    </w:tbl>
    <w:p>
      <w:r>
        <w:rPr>
          <w:rFonts w:ascii="Calibri" w:hAnsi="Calibri"/>
          <w:i/>
          <w:color w:val="525866"/>
          <w:sz w:val="22"/>
        </w:rPr>
        <w:t>Source: Visible Alpha Consensus and Actuals Data. All figures are on an operating (adjusted) basis. Q2 2026 consensus as of July 20, 2026.</w:t>
      </w:r>
    </w:p>
    <w:p>
      <w:pPr>
        <w:pStyle w:val="Heading3"/>
      </w:pPr>
      <w:r>
        <w:rPr>
          <w:rFonts w:ascii="Calibri" w:hAnsi="Calibri"/>
          <w:b/>
          <w:color w:val="3B4259"/>
          <w:sz w:val="24"/>
        </w:rPr>
        <w:t>Table 2 — Beat/Miss History (Last 8 Quarters, Top 2 KPIs)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Adj. EPS</w:t>
            </w:r>
          </w:p>
        </w:tc>
        <w:tc>
          <w:tcPr>
            <w:tcW w:type="dxa" w:w="1440"/>
          </w:tcPr>
          <w:p>
            <w:r>
              <w:rPr>
                <w:rFonts w:ascii="Calibri" w:hAnsi="Calibri"/>
                <w:sz w:val="22"/>
              </w:rPr>
              <w:t>$2.14</w:t>
            </w:r>
          </w:p>
        </w:tc>
        <w:tc>
          <w:tcPr>
            <w:tcW w:type="dxa" w:w="1440"/>
          </w:tcPr>
          <w:p>
            <w:r>
              <w:rPr>
                <w:rFonts w:ascii="Calibri" w:hAnsi="Calibri"/>
                <w:sz w:val="22"/>
              </w:rPr>
              <w:t>$2.01</w:t>
            </w:r>
          </w:p>
        </w:tc>
        <w:tc>
          <w:tcPr>
            <w:tcW w:type="dxa" w:w="1440"/>
          </w:tcPr>
          <w:p>
            <w:r>
              <w:rPr>
                <w:rFonts w:ascii="Calibri" w:hAnsi="Calibri"/>
                <w:b/>
                <w:color w:val="30A46C"/>
                <w:sz w:val="22"/>
              </w:rPr>
              <w:t>+6.5%</w:t>
            </w:r>
          </w:p>
        </w:tc>
        <w:tc>
          <w:tcPr>
            <w:tcW w:type="dxa" w:w="1440"/>
          </w:tcPr>
          <w:p>
            <w:r>
              <w:rPr>
                <w:rFonts w:ascii="Calibri" w:hAnsi="Calibri"/>
                <w:sz w:val="22"/>
              </w:rPr>
              <w:t>Beat</w:t>
            </w:r>
          </w:p>
        </w:tc>
      </w:tr>
      <w:tr>
        <w:tc>
          <w:tcPr>
            <w:tcW w:type="dxa" w:w="1440"/>
          </w:tcPr>
          <w:p>
            <w:r>
              <w:rPr>
                <w:rFonts w:ascii="Calibri" w:hAnsi="Calibri"/>
                <w:sz w:val="22"/>
              </w:rPr>
              <w:t>Q1 2026</w:t>
            </w:r>
          </w:p>
        </w:tc>
        <w:tc>
          <w:tcPr>
            <w:tcW w:type="dxa" w:w="1440"/>
          </w:tcPr>
          <w:p>
            <w:r>
              <w:rPr>
                <w:rFonts w:ascii="Calibri" w:hAnsi="Calibri"/>
                <w:sz w:val="22"/>
              </w:rPr>
              <w:t>Organic Growth</w:t>
            </w:r>
          </w:p>
        </w:tc>
        <w:tc>
          <w:tcPr>
            <w:tcW w:type="dxa" w:w="1440"/>
          </w:tcPr>
          <w:p>
            <w:r>
              <w:rPr>
                <w:rFonts w:ascii="Calibri" w:hAnsi="Calibri"/>
                <w:sz w:val="22"/>
              </w:rPr>
              <w:t>1.2%</w:t>
            </w:r>
          </w:p>
        </w:tc>
        <w:tc>
          <w:tcPr>
            <w:tcW w:type="dxa" w:w="1440"/>
          </w:tcPr>
          <w:p>
            <w:r>
              <w:rPr>
                <w:rFonts w:ascii="Calibri" w:hAnsi="Calibri"/>
                <w:sz w:val="22"/>
              </w:rPr>
              <w:t>2.3%</w:t>
            </w:r>
          </w:p>
        </w:tc>
        <w:tc>
          <w:tcPr>
            <w:tcW w:type="dxa" w:w="1440"/>
          </w:tcPr>
          <w:p>
            <w:r>
              <w:rPr>
                <w:rFonts w:ascii="Calibri" w:hAnsi="Calibri"/>
                <w:b/>
                <w:color w:val="E5484D"/>
                <w:sz w:val="22"/>
              </w:rPr>
              <w:t>-110 bps</w:t>
            </w:r>
          </w:p>
        </w:tc>
        <w:tc>
          <w:tcPr>
            <w:tcW w:type="dxa" w:w="1440"/>
          </w:tcPr>
          <w:p>
            <w:r>
              <w:rPr>
                <w:rFonts w:ascii="Calibri" w:hAnsi="Calibri"/>
                <w:sz w:val="22"/>
              </w:rPr>
              <w:t>Miss</w:t>
            </w:r>
          </w:p>
        </w:tc>
      </w:tr>
      <w:tr>
        <w:tc>
          <w:tcPr>
            <w:tcW w:type="dxa" w:w="1440"/>
          </w:tcPr>
          <w:p>
            <w:r>
              <w:rPr>
                <w:rFonts w:ascii="Calibri" w:hAnsi="Calibri"/>
                <w:sz w:val="22"/>
              </w:rPr>
              <w:t>Q4 2025</w:t>
            </w:r>
          </w:p>
        </w:tc>
        <w:tc>
          <w:tcPr>
            <w:tcW w:type="dxa" w:w="1440"/>
          </w:tcPr>
          <w:p>
            <w:r>
              <w:rPr>
                <w:rFonts w:ascii="Calibri" w:hAnsi="Calibri"/>
                <w:sz w:val="22"/>
              </w:rPr>
              <w:t>Adj. EPS</w:t>
            </w:r>
          </w:p>
        </w:tc>
        <w:tc>
          <w:tcPr>
            <w:tcW w:type="dxa" w:w="1440"/>
          </w:tcPr>
          <w:p>
            <w:r>
              <w:rPr>
                <w:rFonts w:ascii="Calibri" w:hAnsi="Calibri"/>
                <w:sz w:val="22"/>
              </w:rPr>
              <w:t>$1.83</w:t>
            </w:r>
          </w:p>
        </w:tc>
        <w:tc>
          <w:tcPr>
            <w:tcW w:type="dxa" w:w="1440"/>
          </w:tcPr>
          <w:p>
            <w:r>
              <w:rPr>
                <w:rFonts w:ascii="Calibri" w:hAnsi="Calibri"/>
                <w:sz w:val="22"/>
              </w:rPr>
              <w:t>$1.79</w:t>
            </w:r>
          </w:p>
        </w:tc>
        <w:tc>
          <w:tcPr>
            <w:tcW w:type="dxa" w:w="1440"/>
          </w:tcPr>
          <w:p>
            <w:r>
              <w:rPr>
                <w:rFonts w:ascii="Calibri" w:hAnsi="Calibri"/>
                <w:b/>
                <w:color w:val="30A46C"/>
                <w:sz w:val="22"/>
              </w:rPr>
              <w:t>+2.2%</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Organic Growth</w:t>
            </w:r>
          </w:p>
        </w:tc>
        <w:tc>
          <w:tcPr>
            <w:tcW w:type="dxa" w:w="1440"/>
          </w:tcPr>
          <w:p>
            <w:r>
              <w:rPr>
                <w:rFonts w:ascii="Calibri" w:hAnsi="Calibri"/>
                <w:sz w:val="22"/>
              </w:rPr>
              <w:t>2.2%</w:t>
            </w:r>
          </w:p>
        </w:tc>
        <w:tc>
          <w:tcPr>
            <w:tcW w:type="dxa" w:w="1440"/>
          </w:tcPr>
          <w:p>
            <w:r>
              <w:rPr>
                <w:rFonts w:ascii="Calibri" w:hAnsi="Calibri"/>
                <w:sz w:val="22"/>
              </w:rPr>
              <w:t>2.5%</w:t>
            </w:r>
          </w:p>
        </w:tc>
        <w:tc>
          <w:tcPr>
            <w:tcW w:type="dxa" w:w="1440"/>
          </w:tcPr>
          <w:p>
            <w:r>
              <w:rPr>
                <w:rFonts w:ascii="Calibri" w:hAnsi="Calibri"/>
                <w:b/>
                <w:color w:val="E5484D"/>
                <w:sz w:val="22"/>
              </w:rPr>
              <w:t>-30 bps</w:t>
            </w:r>
          </w:p>
        </w:tc>
        <w:tc>
          <w:tcPr>
            <w:tcW w:type="dxa" w:w="1440"/>
          </w:tcPr>
          <w:p>
            <w:r>
              <w:rPr>
                <w:rFonts w:ascii="Calibri" w:hAnsi="Calibri"/>
                <w:sz w:val="22"/>
              </w:rPr>
              <w:t>Miss</w:t>
            </w:r>
          </w:p>
        </w:tc>
      </w:tr>
      <w:tr>
        <w:tc>
          <w:tcPr>
            <w:tcW w:type="dxa" w:w="1440"/>
          </w:tcPr>
          <w:p>
            <w:r>
              <w:rPr>
                <w:rFonts w:ascii="Calibri" w:hAnsi="Calibri"/>
                <w:sz w:val="22"/>
              </w:rPr>
              <w:t>Q3 2025</w:t>
            </w:r>
          </w:p>
        </w:tc>
        <w:tc>
          <w:tcPr>
            <w:tcW w:type="dxa" w:w="1440"/>
          </w:tcPr>
          <w:p>
            <w:r>
              <w:rPr>
                <w:rFonts w:ascii="Calibri" w:hAnsi="Calibri"/>
                <w:sz w:val="22"/>
              </w:rPr>
              <w:t>Adj. EPS</w:t>
            </w:r>
          </w:p>
        </w:tc>
        <w:tc>
          <w:tcPr>
            <w:tcW w:type="dxa" w:w="1440"/>
          </w:tcPr>
          <w:p>
            <w:r>
              <w:rPr>
                <w:rFonts w:ascii="Calibri" w:hAnsi="Calibri"/>
                <w:sz w:val="22"/>
              </w:rPr>
              <w:t>$2.19</w:t>
            </w:r>
          </w:p>
        </w:tc>
        <w:tc>
          <w:tcPr>
            <w:tcW w:type="dxa" w:w="1440"/>
          </w:tcPr>
          <w:p>
            <w:r>
              <w:rPr>
                <w:rFonts w:ascii="Calibri" w:hAnsi="Calibri"/>
                <w:sz w:val="22"/>
              </w:rPr>
              <w:t>$2.08</w:t>
            </w:r>
          </w:p>
        </w:tc>
        <w:tc>
          <w:tcPr>
            <w:tcW w:type="dxa" w:w="1440"/>
          </w:tcPr>
          <w:p>
            <w:r>
              <w:rPr>
                <w:rFonts w:ascii="Calibri" w:hAnsi="Calibri"/>
                <w:b/>
                <w:color w:val="30A46C"/>
                <w:sz w:val="22"/>
              </w:rPr>
              <w:t>+5.3%</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Organic Growth</w:t>
            </w:r>
          </w:p>
        </w:tc>
        <w:tc>
          <w:tcPr>
            <w:tcW w:type="dxa" w:w="1440"/>
          </w:tcPr>
          <w:p>
            <w:r>
              <w:rPr>
                <w:rFonts w:ascii="Calibri" w:hAnsi="Calibri"/>
                <w:sz w:val="22"/>
              </w:rPr>
              <w:t>3.2%</w:t>
            </w:r>
          </w:p>
        </w:tc>
        <w:tc>
          <w:tcPr>
            <w:tcW w:type="dxa" w:w="1440"/>
          </w:tcPr>
          <w:p>
            <w:r>
              <w:rPr>
                <w:rFonts w:ascii="Calibri" w:hAnsi="Calibri"/>
                <w:sz w:val="22"/>
              </w:rPr>
              <w:t>2.3%</w:t>
            </w:r>
          </w:p>
        </w:tc>
        <w:tc>
          <w:tcPr>
            <w:tcW w:type="dxa" w:w="1440"/>
          </w:tcPr>
          <w:p>
            <w:r>
              <w:rPr>
                <w:rFonts w:ascii="Calibri" w:hAnsi="Calibri"/>
                <w:b/>
                <w:color w:val="30A46C"/>
                <w:sz w:val="22"/>
              </w:rPr>
              <w:t>+90 bps</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Adj. EPS</w:t>
            </w:r>
          </w:p>
        </w:tc>
        <w:tc>
          <w:tcPr>
            <w:tcW w:type="dxa" w:w="1440"/>
          </w:tcPr>
          <w:p>
            <w:r>
              <w:rPr>
                <w:rFonts w:ascii="Calibri" w:hAnsi="Calibri"/>
                <w:sz w:val="22"/>
              </w:rPr>
              <w:t>$2.16</w:t>
            </w:r>
          </w:p>
        </w:tc>
        <w:tc>
          <w:tcPr>
            <w:tcW w:type="dxa" w:w="1440"/>
          </w:tcPr>
          <w:p>
            <w:r>
              <w:rPr>
                <w:rFonts w:ascii="Calibri" w:hAnsi="Calibri"/>
                <w:sz w:val="22"/>
              </w:rPr>
              <w:t>$2.01</w:t>
            </w:r>
          </w:p>
        </w:tc>
        <w:tc>
          <w:tcPr>
            <w:tcW w:type="dxa" w:w="1440"/>
          </w:tcPr>
          <w:p>
            <w:r>
              <w:rPr>
                <w:rFonts w:ascii="Calibri" w:hAnsi="Calibri"/>
                <w:b/>
                <w:color w:val="30A46C"/>
                <w:sz w:val="22"/>
              </w:rPr>
              <w:t>+7.5%</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Organic Growth</w:t>
            </w:r>
          </w:p>
        </w:tc>
        <w:tc>
          <w:tcPr>
            <w:tcW w:type="dxa" w:w="1440"/>
          </w:tcPr>
          <w:p>
            <w:r>
              <w:rPr>
                <w:rFonts w:ascii="Calibri" w:hAnsi="Calibri"/>
                <w:sz w:val="22"/>
              </w:rPr>
              <w:t>1.5%</w:t>
            </w:r>
          </w:p>
        </w:tc>
        <w:tc>
          <w:tcPr>
            <w:tcW w:type="dxa" w:w="1440"/>
          </w:tcPr>
          <w:p>
            <w:r>
              <w:rPr>
                <w:rFonts w:ascii="Calibri" w:hAnsi="Calibri"/>
                <w:sz w:val="22"/>
              </w:rPr>
              <w:t>2.0%</w:t>
            </w:r>
          </w:p>
        </w:tc>
        <w:tc>
          <w:tcPr>
            <w:tcW w:type="dxa" w:w="1440"/>
          </w:tcPr>
          <w:p>
            <w:r>
              <w:rPr>
                <w:rFonts w:ascii="Calibri" w:hAnsi="Calibri"/>
                <w:b/>
                <w:color w:val="E5484D"/>
                <w:sz w:val="22"/>
              </w:rPr>
              <w:t>-50 bps</w:t>
            </w:r>
          </w:p>
        </w:tc>
        <w:tc>
          <w:tcPr>
            <w:tcW w:type="dxa" w:w="1440"/>
          </w:tcPr>
          <w:p>
            <w:r>
              <w:rPr>
                <w:rFonts w:ascii="Calibri" w:hAnsi="Calibri"/>
                <w:sz w:val="22"/>
              </w:rPr>
              <w:t>Miss</w:t>
            </w:r>
          </w:p>
        </w:tc>
      </w:tr>
      <w:tr>
        <w:tc>
          <w:tcPr>
            <w:tcW w:type="dxa" w:w="1440"/>
          </w:tcPr>
          <w:p>
            <w:r>
              <w:rPr>
                <w:rFonts w:ascii="Calibri" w:hAnsi="Calibri"/>
                <w:sz w:val="22"/>
              </w:rPr>
              <w:t>Q1 2025</w:t>
            </w:r>
          </w:p>
        </w:tc>
        <w:tc>
          <w:tcPr>
            <w:tcW w:type="dxa" w:w="1440"/>
          </w:tcPr>
          <w:p>
            <w:r>
              <w:rPr>
                <w:rFonts w:ascii="Calibri" w:hAnsi="Calibri"/>
                <w:sz w:val="22"/>
              </w:rPr>
              <w:t>Adj. EPS</w:t>
            </w:r>
          </w:p>
        </w:tc>
        <w:tc>
          <w:tcPr>
            <w:tcW w:type="dxa" w:w="1440"/>
          </w:tcPr>
          <w:p>
            <w:r>
              <w:rPr>
                <w:rFonts w:ascii="Calibri" w:hAnsi="Calibri"/>
                <w:sz w:val="22"/>
              </w:rPr>
              <w:t>$1.88</w:t>
            </w:r>
          </w:p>
        </w:tc>
        <w:tc>
          <w:tcPr>
            <w:tcW w:type="dxa" w:w="1440"/>
          </w:tcPr>
          <w:p>
            <w:r>
              <w:rPr>
                <w:rFonts w:ascii="Calibri" w:hAnsi="Calibri"/>
                <w:sz w:val="22"/>
              </w:rPr>
              <w:t>$1.75</w:t>
            </w:r>
          </w:p>
        </w:tc>
        <w:tc>
          <w:tcPr>
            <w:tcW w:type="dxa" w:w="1440"/>
          </w:tcPr>
          <w:p>
            <w:r>
              <w:rPr>
                <w:rFonts w:ascii="Calibri" w:hAnsi="Calibri"/>
                <w:b/>
                <w:color w:val="30A46C"/>
                <w:sz w:val="22"/>
              </w:rPr>
              <w:t>+7.4%</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Organic Growth</w:t>
            </w:r>
          </w:p>
        </w:tc>
        <w:tc>
          <w:tcPr>
            <w:tcW w:type="dxa" w:w="1440"/>
          </w:tcPr>
          <w:p>
            <w:r>
              <w:rPr>
                <w:rFonts w:ascii="Calibri" w:hAnsi="Calibri"/>
                <w:sz w:val="22"/>
              </w:rPr>
              <w:t>1.5%</w:t>
            </w:r>
          </w:p>
        </w:tc>
        <w:tc>
          <w:tcPr>
            <w:tcW w:type="dxa" w:w="1440"/>
          </w:tcPr>
          <w:p>
            <w:r>
              <w:rPr>
                <w:rFonts w:ascii="Calibri" w:hAnsi="Calibri"/>
                <w:sz w:val="22"/>
              </w:rPr>
              <w:t>1.7%</w:t>
            </w:r>
          </w:p>
        </w:tc>
        <w:tc>
          <w:tcPr>
            <w:tcW w:type="dxa" w:w="1440"/>
          </w:tcPr>
          <w:p>
            <w:r>
              <w:rPr>
                <w:rFonts w:ascii="Calibri" w:hAnsi="Calibri"/>
                <w:b/>
                <w:color w:val="E5484D"/>
                <w:sz w:val="22"/>
              </w:rPr>
              <w:t>-20 bps</w:t>
            </w:r>
          </w:p>
        </w:tc>
        <w:tc>
          <w:tcPr>
            <w:tcW w:type="dxa" w:w="1440"/>
          </w:tcPr>
          <w:p>
            <w:r>
              <w:rPr>
                <w:rFonts w:ascii="Calibri" w:hAnsi="Calibri"/>
                <w:sz w:val="22"/>
              </w:rPr>
              <w:t>Miss</w:t>
            </w:r>
          </w:p>
        </w:tc>
      </w:tr>
      <w:tr>
        <w:tc>
          <w:tcPr>
            <w:tcW w:type="dxa" w:w="1440"/>
          </w:tcPr>
          <w:p>
            <w:r>
              <w:rPr>
                <w:rFonts w:ascii="Calibri" w:hAnsi="Calibri"/>
                <w:sz w:val="22"/>
              </w:rPr>
              <w:t>Q4 2024</w:t>
            </w:r>
          </w:p>
        </w:tc>
        <w:tc>
          <w:tcPr>
            <w:tcW w:type="dxa" w:w="1440"/>
          </w:tcPr>
          <w:p>
            <w:r>
              <w:rPr>
                <w:rFonts w:ascii="Calibri" w:hAnsi="Calibri"/>
                <w:sz w:val="22"/>
              </w:rPr>
              <w:t>Adj. EPS</w:t>
            </w:r>
          </w:p>
        </w:tc>
        <w:tc>
          <w:tcPr>
            <w:tcW w:type="dxa" w:w="1440"/>
          </w:tcPr>
          <w:p>
            <w:r>
              <w:rPr>
                <w:rFonts w:ascii="Calibri" w:hAnsi="Calibri"/>
                <w:sz w:val="22"/>
              </w:rPr>
              <w:t>$1.68</w:t>
            </w:r>
          </w:p>
        </w:tc>
        <w:tc>
          <w:tcPr>
            <w:tcW w:type="dxa" w:w="1440"/>
          </w:tcPr>
          <w:p>
            <w:r>
              <w:rPr>
                <w:rFonts w:ascii="Calibri" w:hAnsi="Calibri"/>
                <w:sz w:val="22"/>
              </w:rPr>
              <w:t>$1.63</w:t>
            </w:r>
          </w:p>
        </w:tc>
        <w:tc>
          <w:tcPr>
            <w:tcW w:type="dxa" w:w="1440"/>
          </w:tcPr>
          <w:p>
            <w:r>
              <w:rPr>
                <w:rFonts w:ascii="Calibri" w:hAnsi="Calibri"/>
                <w:b/>
                <w:color w:val="30A46C"/>
                <w:sz w:val="22"/>
              </w:rPr>
              <w:t>+3.1%</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Organic Growth</w:t>
            </w:r>
          </w:p>
        </w:tc>
        <w:tc>
          <w:tcPr>
            <w:tcW w:type="dxa" w:w="1440"/>
          </w:tcPr>
          <w:p>
            <w:r>
              <w:rPr>
                <w:rFonts w:ascii="Calibri" w:hAnsi="Calibri"/>
                <w:sz w:val="22"/>
              </w:rPr>
              <w:t>2.1%</w:t>
            </w:r>
          </w:p>
        </w:tc>
        <w:tc>
          <w:tcPr>
            <w:tcW w:type="dxa" w:w="1440"/>
          </w:tcPr>
          <w:p>
            <w:r>
              <w:rPr>
                <w:rFonts w:ascii="Calibri" w:hAnsi="Calibri"/>
                <w:sz w:val="22"/>
              </w:rPr>
              <w:t>1.5%</w:t>
            </w:r>
          </w:p>
        </w:tc>
        <w:tc>
          <w:tcPr>
            <w:tcW w:type="dxa" w:w="1440"/>
          </w:tcPr>
          <w:p>
            <w:r>
              <w:rPr>
                <w:rFonts w:ascii="Calibri" w:hAnsi="Calibri"/>
                <w:b/>
                <w:color w:val="30A46C"/>
                <w:sz w:val="22"/>
              </w:rPr>
              <w:t>+60 bps</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Adj. EPS</w:t>
            </w:r>
          </w:p>
        </w:tc>
        <w:tc>
          <w:tcPr>
            <w:tcW w:type="dxa" w:w="1440"/>
          </w:tcPr>
          <w:p>
            <w:r>
              <w:rPr>
                <w:rFonts w:ascii="Calibri" w:hAnsi="Calibri"/>
                <w:sz w:val="22"/>
              </w:rPr>
              <w:t>$1.98</w:t>
            </w:r>
          </w:p>
        </w:tc>
        <w:tc>
          <w:tcPr>
            <w:tcW w:type="dxa" w:w="1440"/>
          </w:tcPr>
          <w:p>
            <w:r>
              <w:rPr>
                <w:rFonts w:ascii="Calibri" w:hAnsi="Calibri"/>
                <w:sz w:val="22"/>
              </w:rPr>
              <w:t>$1.91</w:t>
            </w:r>
          </w:p>
        </w:tc>
        <w:tc>
          <w:tcPr>
            <w:tcW w:type="dxa" w:w="1440"/>
          </w:tcPr>
          <w:p>
            <w:r>
              <w:rPr>
                <w:rFonts w:ascii="Calibri" w:hAnsi="Calibri"/>
                <w:b/>
                <w:color w:val="30A46C"/>
                <w:sz w:val="22"/>
              </w:rPr>
              <w:t>+3.7%</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Organic Growth</w:t>
            </w:r>
          </w:p>
        </w:tc>
        <w:tc>
          <w:tcPr>
            <w:tcW w:type="dxa" w:w="1440"/>
          </w:tcPr>
          <w:p>
            <w:r>
              <w:rPr>
                <w:rFonts w:ascii="Calibri" w:hAnsi="Calibri"/>
                <w:sz w:val="22"/>
              </w:rPr>
              <w:t>1.0%</w:t>
            </w:r>
          </w:p>
        </w:tc>
        <w:tc>
          <w:tcPr>
            <w:tcW w:type="dxa" w:w="1440"/>
          </w:tcPr>
          <w:p>
            <w:r>
              <w:rPr>
                <w:rFonts w:ascii="Calibri" w:hAnsi="Calibri"/>
                <w:sz w:val="22"/>
              </w:rPr>
              <w:t>1.5%</w:t>
            </w:r>
          </w:p>
        </w:tc>
        <w:tc>
          <w:tcPr>
            <w:tcW w:type="dxa" w:w="1440"/>
          </w:tcPr>
          <w:p>
            <w:r>
              <w:rPr>
                <w:rFonts w:ascii="Calibri" w:hAnsi="Calibri"/>
                <w:b/>
                <w:color w:val="E5484D"/>
                <w:sz w:val="22"/>
              </w:rPr>
              <w:t>-50 bps</w:t>
            </w:r>
          </w:p>
        </w:tc>
        <w:tc>
          <w:tcPr>
            <w:tcW w:type="dxa" w:w="1440"/>
          </w:tcPr>
          <w:p>
            <w:r>
              <w:rPr>
                <w:rFonts w:ascii="Calibri" w:hAnsi="Calibri"/>
                <w:sz w:val="22"/>
              </w:rPr>
              <w:t>Miss</w:t>
            </w:r>
          </w:p>
        </w:tc>
      </w:tr>
      <w:tr>
        <w:tc>
          <w:tcPr>
            <w:tcW w:type="dxa" w:w="1440"/>
          </w:tcPr>
          <w:p>
            <w:r>
              <w:rPr>
                <w:rFonts w:ascii="Calibri" w:hAnsi="Calibri"/>
                <w:sz w:val="22"/>
              </w:rPr>
              <w:t>Q2 2024</w:t>
            </w:r>
          </w:p>
        </w:tc>
        <w:tc>
          <w:tcPr>
            <w:tcW w:type="dxa" w:w="1440"/>
          </w:tcPr>
          <w:p>
            <w:r>
              <w:rPr>
                <w:rFonts w:ascii="Calibri" w:hAnsi="Calibri"/>
                <w:sz w:val="22"/>
              </w:rPr>
              <w:t>Adj. EPS</w:t>
            </w:r>
          </w:p>
        </w:tc>
        <w:tc>
          <w:tcPr>
            <w:tcW w:type="dxa" w:w="1440"/>
          </w:tcPr>
          <w:p>
            <w:r>
              <w:rPr>
                <w:rFonts w:ascii="Calibri" w:hAnsi="Calibri"/>
                <w:sz w:val="22"/>
              </w:rPr>
              <w:t>$1.93</w:t>
            </w:r>
          </w:p>
        </w:tc>
        <w:tc>
          <w:tcPr>
            <w:tcW w:type="dxa" w:w="1440"/>
          </w:tcPr>
          <w:p>
            <w:r>
              <w:rPr>
                <w:rFonts w:ascii="Calibri" w:hAnsi="Calibri"/>
                <w:sz w:val="22"/>
              </w:rPr>
              <w:t>$1.67</w:t>
            </w:r>
          </w:p>
        </w:tc>
        <w:tc>
          <w:tcPr>
            <w:tcW w:type="dxa" w:w="1440"/>
          </w:tcPr>
          <w:p>
            <w:r>
              <w:rPr>
                <w:rFonts w:ascii="Calibri" w:hAnsi="Calibri"/>
                <w:b/>
                <w:color w:val="30A46C"/>
                <w:sz w:val="22"/>
              </w:rPr>
              <w:t>+15.6%</w:t>
            </w:r>
          </w:p>
        </w:tc>
        <w:tc>
          <w:tcPr>
            <w:tcW w:type="dxa" w:w="1440"/>
          </w:tcPr>
          <w:p>
            <w:r>
              <w:rPr>
                <w:rFonts w:ascii="Calibri" w:hAnsi="Calibri"/>
                <w:sz w:val="22"/>
              </w:rPr>
              <w:t>Beat</w:t>
            </w:r>
          </w:p>
        </w:tc>
      </w:tr>
      <w:tr>
        <w:tc>
          <w:tcPr>
            <w:tcW w:type="dxa" w:w="1440"/>
          </w:tcPr>
          <w:p>
            <w:r>
              <w:rPr>
                <w:rFonts w:ascii="Calibri" w:hAnsi="Calibri"/>
                <w:sz w:val="22"/>
              </w:rPr>
              <w:t>Q2 2024</w:t>
            </w:r>
          </w:p>
        </w:tc>
        <w:tc>
          <w:tcPr>
            <w:tcW w:type="dxa" w:w="1440"/>
          </w:tcPr>
          <w:p>
            <w:r>
              <w:rPr>
                <w:rFonts w:ascii="Calibri" w:hAnsi="Calibri"/>
                <w:sz w:val="22"/>
              </w:rPr>
              <w:t>Organic Growth</w:t>
            </w:r>
          </w:p>
        </w:tc>
        <w:tc>
          <w:tcPr>
            <w:tcW w:type="dxa" w:w="1440"/>
          </w:tcPr>
          <w:p>
            <w:r>
              <w:rPr>
                <w:rFonts w:ascii="Calibri" w:hAnsi="Calibri"/>
                <w:sz w:val="22"/>
              </w:rPr>
              <w:t>1.2%</w:t>
            </w:r>
          </w:p>
        </w:tc>
        <w:tc>
          <w:tcPr>
            <w:tcW w:type="dxa" w:w="1440"/>
          </w:tcPr>
          <w:p>
            <w:r>
              <w:rPr>
                <w:rFonts w:ascii="Calibri" w:hAnsi="Calibri"/>
                <w:sz w:val="22"/>
              </w:rPr>
              <w:t>-1.2%</w:t>
            </w:r>
          </w:p>
        </w:tc>
        <w:tc>
          <w:tcPr>
            <w:tcW w:type="dxa" w:w="1440"/>
          </w:tcPr>
          <w:p>
            <w:r>
              <w:rPr>
                <w:rFonts w:ascii="Calibri" w:hAnsi="Calibri"/>
                <w:b/>
                <w:color w:val="30A46C"/>
                <w:sz w:val="22"/>
              </w:rPr>
              <w:t>+240 bps</w:t>
            </w:r>
          </w:p>
        </w:tc>
        <w:tc>
          <w:tcPr>
            <w:tcW w:type="dxa" w:w="1440"/>
          </w:tcPr>
          <w:p>
            <w:r>
              <w:rPr>
                <w:rFonts w:ascii="Calibri" w:hAnsi="Calibri"/>
                <w:sz w:val="22"/>
              </w:rPr>
              <w:t>Beat</w:t>
            </w:r>
          </w:p>
        </w:tc>
      </w:tr>
    </w:tbl>
    <w:p>
      <w:r>
        <w:rPr>
          <w:rFonts w:ascii="Calibri" w:hAnsi="Calibri"/>
          <w:b/>
          <w:color w:val="525866"/>
          <w:sz w:val="22"/>
        </w:rPr>
        <w:t xml:space="preserve">Pattern: </w:t>
      </w:r>
      <w:r>
        <w:rPr>
          <w:rFonts w:ascii="Calibri" w:hAnsi="Calibri"/>
          <w:color w:val="525866"/>
          <w:sz w:val="22"/>
        </w:rPr>
        <w:t>3M has beaten adj. EPS consensus in all 8 of the last 8 quarters, with an average surprise of ~6.5%. Organic growth has been more mixed — beating in 4 of 8 quarters — reflecting macro-driven volatility in consumer electronics and auto. The consistent EPS beat pattern reflects strong productivity execution even when top-line growth disappoints.</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Management's tone has shifted materially more confident since Q1 earnings. The June 10 Wells Fargo conference was a de facto pre-announcement — Q2 organic growth was raised to "solidly above 3%", the macro contingency was deemed unlikely to be needed, and the pre-buy characterization of Q1 order strength was explicitly walked back.</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Topic</w:t>
            </w:r>
          </w:p>
        </w:tc>
        <w:tc>
          <w:tcPr>
            <w:tcW w:type="dxa" w:w="2160"/>
            <w:shd w:val="clear" w:color="auto" w:fill="3B4259"/>
          </w:tcPr>
          <w:p>
            <w:r>
              <w:rPr>
                <w:rFonts w:ascii="Calibri" w:hAnsi="Calibri"/>
                <w:b/>
                <w:color w:val="FFFFFF"/>
                <w:sz w:val="22"/>
              </w:rPr>
              <w:t>Q1 2026 Earnings Call (Apr 21)</w:t>
            </w:r>
          </w:p>
        </w:tc>
        <w:tc>
          <w:tcPr>
            <w:tcW w:type="dxa" w:w="2160"/>
            <w:shd w:val="clear" w:color="auto" w:fill="3B4259"/>
          </w:tcPr>
          <w:p>
            <w:r>
              <w:rPr>
                <w:rFonts w:ascii="Calibri" w:hAnsi="Calibri"/>
                <w:b/>
                <w:color w:val="FFFFFF"/>
                <w:sz w:val="22"/>
              </w:rPr>
              <w:t>Wells Fargo Conference (Jun 10)</w:t>
            </w:r>
          </w:p>
        </w:tc>
        <w:tc>
          <w:tcPr>
            <w:tcW w:type="dxa" w:w="2160"/>
            <w:shd w:val="clear" w:color="auto" w:fill="3B4259"/>
          </w:tcPr>
          <w:p>
            <w:r>
              <w:rPr>
                <w:rFonts w:ascii="Calibri" w:hAnsi="Calibri"/>
                <w:b/>
                <w:color w:val="FFFFFF"/>
                <w:sz w:val="22"/>
              </w:rPr>
              <w:t>Direction</w:t>
            </w:r>
          </w:p>
        </w:tc>
      </w:tr>
      <w:tr>
        <w:tc>
          <w:tcPr>
            <w:tcW w:type="dxa" w:w="2160"/>
          </w:tcPr>
          <w:p>
            <w:r>
              <w:rPr>
                <w:rFonts w:ascii="Calibri" w:hAnsi="Calibri"/>
                <w:sz w:val="22"/>
              </w:rPr>
              <w:t>Q2 Organic Growth</w:t>
            </w:r>
          </w:p>
        </w:tc>
        <w:tc>
          <w:tcPr>
            <w:tcW w:type="dxa" w:w="2160"/>
          </w:tcPr>
          <w:p>
            <w:r>
              <w:rPr>
                <w:rFonts w:ascii="Calibri" w:hAnsi="Calibri"/>
                <w:sz w:val="22"/>
              </w:rPr>
              <w:t>"Higher than 3%"; SIBG &gt;3.2%, TEBG low-single-digit, CBG flat-to-positive</w:t>
            </w:r>
          </w:p>
        </w:tc>
        <w:tc>
          <w:tcPr>
            <w:tcW w:type="dxa" w:w="2160"/>
          </w:tcPr>
          <w:p>
            <w:r>
              <w:rPr>
                <w:rFonts w:ascii="Calibri" w:hAnsi="Calibri"/>
                <w:sz w:val="22"/>
              </w:rPr>
              <w:t>"Solidly above 3%" — raised from prior guidance; orders/backlog building through June</w:t>
            </w:r>
          </w:p>
        </w:tc>
        <w:tc>
          <w:tcPr>
            <w:tcW w:type="dxa" w:w="2160"/>
          </w:tcPr>
          <w:p>
            <w:r>
              <w:rPr>
                <w:rFonts w:ascii="Calibri" w:hAnsi="Calibri"/>
                <w:b/>
                <w:color w:val="30A46C"/>
                <w:sz w:val="22"/>
              </w:rPr>
              <w:t>Raised ↑</w:t>
            </w:r>
          </w:p>
        </w:tc>
      </w:tr>
      <w:tr>
        <w:tc>
          <w:tcPr>
            <w:tcW w:type="dxa" w:w="2160"/>
          </w:tcPr>
          <w:p>
            <w:r>
              <w:rPr>
                <w:rFonts w:ascii="Calibri" w:hAnsi="Calibri"/>
                <w:sz w:val="22"/>
              </w:rPr>
              <w:t>Q2 Operating Margin</w:t>
            </w:r>
          </w:p>
        </w:tc>
        <w:tc>
          <w:tcPr>
            <w:tcW w:type="dxa" w:w="2160"/>
          </w:tcPr>
          <w:p>
            <w:r>
              <w:rPr>
                <w:rFonts w:ascii="Calibri" w:hAnsi="Calibri"/>
                <w:sz w:val="22"/>
              </w:rPr>
              <w:t>~24.5%; volume + productivity to offset tariff YoY impact, stranded costs, investments</w:t>
            </w:r>
          </w:p>
        </w:tc>
        <w:tc>
          <w:tcPr>
            <w:tcW w:type="dxa" w:w="2160"/>
          </w:tcPr>
          <w:p>
            <w:r>
              <w:rPr>
                <w:rFonts w:ascii="Calibri" w:hAnsi="Calibri"/>
                <w:sz w:val="22"/>
              </w:rPr>
              <w:t>Unchanged; productivity tracking ahead of targets</w:t>
            </w:r>
          </w:p>
        </w:tc>
        <w:tc>
          <w:tcPr>
            <w:tcW w:type="dxa" w:w="2160"/>
          </w:tcPr>
          <w:p>
            <w:r>
              <w:rPr>
                <w:rFonts w:ascii="Calibri" w:hAnsi="Calibri"/>
                <w:sz w:val="22"/>
              </w:rPr>
              <w:t>Unchanged →</w:t>
            </w:r>
          </w:p>
        </w:tc>
      </w:tr>
      <w:tr>
        <w:tc>
          <w:tcPr>
            <w:tcW w:type="dxa" w:w="2160"/>
          </w:tcPr>
          <w:p>
            <w:r>
              <w:rPr>
                <w:rFonts w:ascii="Calibri" w:hAnsi="Calibri"/>
                <w:sz w:val="22"/>
              </w:rPr>
              <w:t>Q2 EPS</w:t>
            </w:r>
          </w:p>
        </w:tc>
        <w:tc>
          <w:tcPr>
            <w:tcW w:type="dxa" w:w="2160"/>
          </w:tcPr>
          <w:p>
            <w:r>
              <w:rPr>
                <w:rFonts w:ascii="Calibri" w:hAnsi="Calibri"/>
                <w:sz w:val="22"/>
              </w:rPr>
              <w:t>Grow &gt;$0.05 vs. Q1 ($2.14); H1 EPS growth &gt;$0.30</w:t>
            </w:r>
          </w:p>
        </w:tc>
        <w:tc>
          <w:tcPr>
            <w:tcW w:type="dxa" w:w="2160"/>
          </w:tcPr>
          <w:p>
            <w:r>
              <w:rPr>
                <w:rFonts w:ascii="Calibri" w:hAnsi="Calibri"/>
                <w:sz w:val="22"/>
              </w:rPr>
              <w:t>Consistent with prior; share buyback and non-op pension tailwinds confirmed</w:t>
            </w:r>
          </w:p>
        </w:tc>
        <w:tc>
          <w:tcPr>
            <w:tcW w:type="dxa" w:w="2160"/>
          </w:tcPr>
          <w:p>
            <w:r>
              <w:rPr>
                <w:rFonts w:ascii="Calibri" w:hAnsi="Calibri"/>
                <w:sz w:val="22"/>
              </w:rPr>
              <w:t>Unchanged →</w:t>
            </w:r>
          </w:p>
        </w:tc>
      </w:tr>
      <w:tr>
        <w:tc>
          <w:tcPr>
            <w:tcW w:type="dxa" w:w="2160"/>
          </w:tcPr>
          <w:p>
            <w:r>
              <w:rPr>
                <w:rFonts w:ascii="Calibri" w:hAnsi="Calibri"/>
                <w:sz w:val="22"/>
              </w:rPr>
              <w:t>FY 2026 Guidance</w:t>
            </w:r>
          </w:p>
        </w:tc>
        <w:tc>
          <w:tcPr>
            <w:tcW w:type="dxa" w:w="2160"/>
          </w:tcPr>
          <w:p>
            <w:r>
              <w:rPr>
                <w:rFonts w:ascii="Calibri" w:hAnsi="Calibri"/>
                <w:sz w:val="22"/>
              </w:rPr>
              <w:t>Organic growth ~3%; EPS $8.50–$8.70; FCF &gt;$4.5B / &gt;100% conversion</w:t>
            </w:r>
          </w:p>
        </w:tc>
        <w:tc>
          <w:tcPr>
            <w:tcW w:type="dxa" w:w="2160"/>
          </w:tcPr>
          <w:p>
            <w:r>
              <w:rPr>
                <w:rFonts w:ascii="Calibri" w:hAnsi="Calibri"/>
                <w:sz w:val="22"/>
              </w:rPr>
              <w:t>Reiterated; macro contingency (Middle East/oil) not expected to be needed; tracking $0.05–$0.15 above midpoint</w:t>
            </w:r>
          </w:p>
        </w:tc>
        <w:tc>
          <w:tcPr>
            <w:tcW w:type="dxa" w:w="2160"/>
          </w:tcPr>
          <w:p>
            <w:r>
              <w:rPr>
                <w:rFonts w:ascii="Calibri" w:hAnsi="Calibri"/>
                <w:b/>
                <w:color w:val="30A46C"/>
                <w:sz w:val="22"/>
              </w:rPr>
              <w:t>Effectively raised ↑</w:t>
            </w:r>
          </w:p>
        </w:tc>
      </w:tr>
      <w:tr>
        <w:tc>
          <w:tcPr>
            <w:tcW w:type="dxa" w:w="2160"/>
          </w:tcPr>
          <w:p>
            <w:r>
              <w:rPr>
                <w:rFonts w:ascii="Calibri" w:hAnsi="Calibri"/>
                <w:sz w:val="22"/>
              </w:rPr>
              <w:t>Order Momentum / Pre-Buy</w:t>
            </w:r>
          </w:p>
        </w:tc>
        <w:tc>
          <w:tcPr>
            <w:tcW w:type="dxa" w:w="2160"/>
          </w:tcPr>
          <w:p>
            <w:r>
              <w:rPr>
                <w:rFonts w:ascii="Calibri" w:hAnsi="Calibri"/>
                <w:sz w:val="22"/>
              </w:rPr>
              <w:t>Orders up double digits in Q1; flagged potential pre-buy ahead of price increases as a factor</w:t>
            </w:r>
          </w:p>
        </w:tc>
        <w:tc>
          <w:tcPr>
            <w:tcW w:type="dxa" w:w="2160"/>
          </w:tcPr>
          <w:p>
            <w:r>
              <w:rPr>
                <w:rFonts w:ascii="Calibri" w:hAnsi="Calibri"/>
                <w:sz w:val="22"/>
              </w:rPr>
              <w:t>Pre-buy characterization walked back; sustained momentum through Apr/May/Jun driven by commercial excellence and innovation</w:t>
            </w:r>
          </w:p>
        </w:tc>
        <w:tc>
          <w:tcPr>
            <w:tcW w:type="dxa" w:w="2160"/>
          </w:tcPr>
          <w:p>
            <w:r>
              <w:rPr>
                <w:rFonts w:ascii="Calibri" w:hAnsi="Calibri"/>
                <w:b/>
                <w:color w:val="30A46C"/>
                <w:sz w:val="22"/>
              </w:rPr>
              <w:t>More positive ↑</w:t>
            </w:r>
          </w:p>
        </w:tc>
      </w:tr>
      <w:tr>
        <w:tc>
          <w:tcPr>
            <w:tcW w:type="dxa" w:w="2160"/>
          </w:tcPr>
          <w:p>
            <w:r>
              <w:rPr>
                <w:rFonts w:ascii="Calibri" w:hAnsi="Calibri"/>
                <w:sz w:val="22"/>
              </w:rPr>
              <w:t>EBO / Data Center</w:t>
            </w:r>
          </w:p>
        </w:tc>
        <w:tc>
          <w:tcPr>
            <w:tcW w:type="dxa" w:w="2160"/>
          </w:tcPr>
          <w:p>
            <w:r>
              <w:rPr>
                <w:rFonts w:ascii="Calibri" w:hAnsi="Calibri"/>
                <w:sz w:val="22"/>
              </w:rPr>
              <w:t>TAM revised to &gt;$2B (from &gt;$1B); first hyperscaler order placed for back-half delivery; capacity may be insufficient</w:t>
            </w:r>
          </w:p>
        </w:tc>
        <w:tc>
          <w:tcPr>
            <w:tcW w:type="dxa" w:w="2160"/>
          </w:tcPr>
          <w:p>
            <w:r>
              <w:rPr>
                <w:rFonts w:ascii="Calibri" w:hAnsi="Calibri"/>
                <w:sz w:val="22"/>
              </w:rPr>
              <w:t>Continued capacity investment; management scrambling to keep pace with demand; additional hyperscaler interest</w:t>
            </w:r>
          </w:p>
        </w:tc>
        <w:tc>
          <w:tcPr>
            <w:tcW w:type="dxa" w:w="2160"/>
          </w:tcPr>
          <w:p>
            <w:r>
              <w:rPr>
                <w:rFonts w:ascii="Calibri" w:hAnsi="Calibri"/>
                <w:b/>
                <w:color w:val="30A46C"/>
                <w:sz w:val="22"/>
              </w:rPr>
              <w:t>Accelerating ↑</w:t>
            </w:r>
          </w:p>
        </w:tc>
      </w:tr>
      <w:tr>
        <w:tc>
          <w:tcPr>
            <w:tcW w:type="dxa" w:w="2160"/>
          </w:tcPr>
          <w:p>
            <w:r>
              <w:rPr>
                <w:rFonts w:ascii="Calibri" w:hAnsi="Calibri"/>
                <w:sz w:val="22"/>
              </w:rPr>
              <w:t>Madison Fire &amp; Rescue JV</w:t>
            </w:r>
          </w:p>
        </w:tc>
        <w:tc>
          <w:tcPr>
            <w:tcW w:type="dxa" w:w="2160"/>
          </w:tcPr>
          <w:p>
            <w:r>
              <w:rPr>
                <w:rFonts w:ascii="Calibri" w:hAnsi="Calibri"/>
                <w:sz w:val="22"/>
              </w:rPr>
              <w:t>Confirmed July 1, 2026 close; separate division within Safety &amp; Industrial starting Q3 2026</w:t>
            </w:r>
          </w:p>
        </w:tc>
        <w:tc>
          <w:tcPr>
            <w:tcW w:type="dxa" w:w="2160"/>
          </w:tcPr>
          <w:p>
            <w:r>
              <w:rPr>
                <w:rFonts w:ascii="Calibri" w:hAnsi="Calibri"/>
                <w:sz w:val="22"/>
              </w:rPr>
              <w:t>Closed July 1 as planned; cross-sell and international expansion opportunity highlighted</w:t>
            </w:r>
          </w:p>
        </w:tc>
        <w:tc>
          <w:tcPr>
            <w:tcW w:type="dxa" w:w="2160"/>
          </w:tcPr>
          <w:p>
            <w:r>
              <w:rPr>
                <w:rFonts w:ascii="Calibri" w:hAnsi="Calibri"/>
                <w:sz w:val="22"/>
              </w:rPr>
              <w:t>On track →</w:t>
            </w:r>
          </w:p>
        </w:tc>
      </w:tr>
      <w:tr>
        <w:tc>
          <w:tcPr>
            <w:tcW w:type="dxa" w:w="2160"/>
          </w:tcPr>
          <w:p>
            <w:r>
              <w:rPr>
                <w:rFonts w:ascii="Calibri" w:hAnsi="Calibri"/>
                <w:sz w:val="22"/>
              </w:rPr>
              <w:t>Tariff Impact</w:t>
            </w:r>
          </w:p>
        </w:tc>
        <w:tc>
          <w:tcPr>
            <w:tcW w:type="dxa" w:w="2160"/>
          </w:tcPr>
          <w:p>
            <w:r>
              <w:rPr>
                <w:rFonts w:ascii="Calibri" w:hAnsi="Calibri"/>
                <w:sz w:val="22"/>
              </w:rPr>
              <w:t>~$145M tariff impact absorbed in Q1; Q2 is "last quarter of tariff YoY impact"; oil-driven cost pass-through pricing in place</w:t>
            </w:r>
          </w:p>
        </w:tc>
        <w:tc>
          <w:tcPr>
            <w:tcW w:type="dxa" w:w="2160"/>
          </w:tcPr>
          <w:p>
            <w:r>
              <w:rPr>
                <w:rFonts w:ascii="Calibri" w:hAnsi="Calibri"/>
                <w:sz w:val="22"/>
              </w:rPr>
              <w:t>Macro contingency (oil/Middle East) not expected to be needed; tariff headwinds largely absorbed</w:t>
            </w:r>
          </w:p>
        </w:tc>
        <w:tc>
          <w:tcPr>
            <w:tcW w:type="dxa" w:w="2160"/>
          </w:tcPr>
          <w:p>
            <w:r>
              <w:rPr>
                <w:rFonts w:ascii="Calibri" w:hAnsi="Calibri"/>
                <w:b/>
                <w:color w:val="30A46C"/>
                <w:sz w:val="22"/>
              </w:rPr>
              <w:t>Improving ↑</w:t>
            </w:r>
          </w:p>
        </w:tc>
      </w:tr>
      <w:tr>
        <w:tc>
          <w:tcPr>
            <w:tcW w:type="dxa" w:w="2160"/>
          </w:tcPr>
          <w:p>
            <w:r>
              <w:rPr>
                <w:rFonts w:ascii="Calibri" w:hAnsi="Calibri"/>
                <w:sz w:val="22"/>
              </w:rPr>
              <w:t>Productivity / $1B Target</w:t>
            </w:r>
          </w:p>
        </w:tc>
        <w:tc>
          <w:tcPr>
            <w:tcW w:type="dxa" w:w="2160"/>
          </w:tcPr>
          <w:p>
            <w:r>
              <w:rPr>
                <w:rFonts w:ascii="Calibri" w:hAnsi="Calibri"/>
                <w:sz w:val="22"/>
              </w:rPr>
              <w:t>Cost of poor quality improved from ~7%+ to ~5.5% of COGS; several hundred million of additional opportunity remaining</w:t>
            </w:r>
          </w:p>
        </w:tc>
        <w:tc>
          <w:tcPr>
            <w:tcW w:type="dxa" w:w="2160"/>
          </w:tcPr>
          <w:p>
            <w:r>
              <w:rPr>
                <w:rFonts w:ascii="Calibri" w:hAnsi="Calibri"/>
                <w:sz w:val="22"/>
              </w:rPr>
              <w:t>Will be at least halfway to $1B annualized target by end of 2026; network consolidation an increasing contributor</w:t>
            </w:r>
          </w:p>
        </w:tc>
        <w:tc>
          <w:tcPr>
            <w:tcW w:type="dxa" w:w="2160"/>
          </w:tcPr>
          <w:p>
            <w:r>
              <w:rPr>
                <w:rFonts w:ascii="Calibri" w:hAnsi="Calibri"/>
                <w:b/>
                <w:color w:val="30A46C"/>
                <w:sz w:val="22"/>
              </w:rPr>
              <w:t>On track / ahead ↑</w:t>
            </w:r>
          </w:p>
        </w:tc>
      </w:tr>
    </w:tbl>
    <w:p>
      <w:r>
        <w:rPr>
          <w:rFonts w:ascii="Calibri" w:hAnsi="Calibri"/>
          <w:i/>
          <w:color w:val="525866"/>
          <w:sz w:val="22"/>
        </w:rPr>
        <w:t>Sources: 3M Q1 2026 Earnings Call Transcript (April 21, 2026); 3M Wells Fargo Industrials &amp; Materials Conference Transcript (June 10, 2026).</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Consensus estimates for Q2 2026 have moved up since Q1 earnings, consistent with management's explicit pre-guidance. The street's Q2 organic growth estimate of ~3.2% sits modestly above the "above 3%" floor guided at Q1 earnings and below the "solidly above 3%" raised at the June Wells Fargo conference — suggesting the bar is achievable and there may be modest upside to consensus.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At Q1 2026 Earnings (Apr 21)</w:t>
            </w:r>
          </w:p>
        </w:tc>
        <w:tc>
          <w:tcPr>
            <w:tcW w:type="dxa" w:w="1440"/>
            <w:shd w:val="clear" w:color="auto" w:fill="3B4259"/>
          </w:tcPr>
          <w:p>
            <w:r>
              <w:rPr>
                <w:rFonts w:ascii="Calibri" w:hAnsi="Calibri"/>
                <w:b/>
                <w:color w:val="FFFFFF"/>
                <w:sz w:val="22"/>
              </w:rPr>
              <w:t>Current Consensus (Jul 20)</w:t>
            </w:r>
          </w:p>
        </w:tc>
        <w:tc>
          <w:tcPr>
            <w:tcW w:type="dxa" w:w="1440"/>
            <w:shd w:val="clear" w:color="auto" w:fill="3B4259"/>
          </w:tcPr>
          <w:p>
            <w:r>
              <w:rPr>
                <w:rFonts w:ascii="Calibri" w:hAnsi="Calibri"/>
                <w:b/>
                <w:color w:val="FFFFFF"/>
                <w:sz w:val="22"/>
              </w:rPr>
              <w:t>Direction</w:t>
            </w:r>
          </w:p>
        </w:tc>
        <w:tc>
          <w:tcPr>
            <w:tcW w:type="dxa" w:w="1440"/>
            <w:shd w:val="clear" w:color="auto" w:fill="3B4259"/>
          </w:tcPr>
          <w:p>
            <w:r>
              <w:rPr>
                <w:rFonts w:ascii="Calibri" w:hAnsi="Calibri"/>
                <w:b/>
                <w:color w:val="FFFFFF"/>
                <w:sz w:val="22"/>
              </w:rPr>
              <w:t>Management Guidance</w:t>
            </w:r>
          </w:p>
        </w:tc>
        <w:tc>
          <w:tcPr>
            <w:tcW w:type="dxa" w:w="1440"/>
            <w:shd w:val="clear" w:color="auto" w:fill="3B4259"/>
          </w:tcPr>
          <w:p>
            <w:r>
              <w:rPr>
                <w:rFonts w:ascii="Calibri" w:hAnsi="Calibri"/>
                <w:b/>
                <w:color w:val="FFFFFF"/>
                <w:sz w:val="22"/>
              </w:rPr>
              <w:t>Cons. vs. Guidance</w:t>
            </w:r>
          </w:p>
        </w:tc>
      </w:tr>
      <w:tr>
        <w:tc>
          <w:tcPr>
            <w:tcW w:type="dxa" w:w="1440"/>
          </w:tcPr>
          <w:p>
            <w:r>
              <w:rPr>
                <w:rFonts w:ascii="Calibri" w:hAnsi="Calibri"/>
                <w:sz w:val="22"/>
              </w:rPr>
              <w:t>Net Sales - Operating ($B)</w:t>
            </w:r>
          </w:p>
        </w:tc>
        <w:tc>
          <w:tcPr>
            <w:tcW w:type="dxa" w:w="1440"/>
          </w:tcPr>
          <w:p>
            <w:r>
              <w:rPr>
                <w:rFonts w:ascii="Calibri" w:hAnsi="Calibri"/>
                <w:sz w:val="22"/>
              </w:rPr>
              <w:t>~$6.10B</w:t>
            </w:r>
          </w:p>
        </w:tc>
        <w:tc>
          <w:tcPr>
            <w:tcW w:type="dxa" w:w="1440"/>
          </w:tcPr>
          <w:p>
            <w:r>
              <w:rPr>
                <w:rFonts w:ascii="Calibri" w:hAnsi="Calibri"/>
                <w:sz w:val="22"/>
              </w:rPr>
              <w:t>$6.411B</w:t>
            </w:r>
          </w:p>
        </w:tc>
        <w:tc>
          <w:tcPr>
            <w:tcW w:type="dxa" w:w="1440"/>
          </w:tcPr>
          <w:p>
            <w:r>
              <w:rPr>
                <w:rFonts w:ascii="Calibri" w:hAnsi="Calibri"/>
                <w:b/>
                <w:color w:val="30A46C"/>
                <w:sz w:val="22"/>
              </w:rPr>
              <w:t>Up ↑</w:t>
            </w:r>
          </w:p>
        </w:tc>
        <w:tc>
          <w:tcPr>
            <w:tcW w:type="dxa" w:w="1440"/>
          </w:tcPr>
          <w:p>
            <w:r>
              <w:rPr>
                <w:rFonts w:ascii="Calibri" w:hAnsi="Calibri"/>
                <w:sz w:val="22"/>
              </w:rPr>
              <w:t>Organic growth "solidly above 3%"</w:t>
            </w:r>
          </w:p>
        </w:tc>
        <w:tc>
          <w:tcPr>
            <w:tcW w:type="dxa" w:w="1440"/>
          </w:tcPr>
          <w:p>
            <w:r>
              <w:rPr>
                <w:rFonts w:ascii="Calibri" w:hAnsi="Calibri"/>
                <w:sz w:val="22"/>
              </w:rPr>
              <w:t>Consistent</w:t>
            </w:r>
          </w:p>
        </w:tc>
      </w:tr>
      <w:tr>
        <w:tc>
          <w:tcPr>
            <w:tcW w:type="dxa" w:w="1440"/>
          </w:tcPr>
          <w:p>
            <w:r>
              <w:rPr>
                <w:rFonts w:ascii="Calibri" w:hAnsi="Calibri"/>
                <w:sz w:val="22"/>
              </w:rPr>
              <w:t>Organic Growth (%)</w:t>
            </w:r>
          </w:p>
        </w:tc>
        <w:tc>
          <w:tcPr>
            <w:tcW w:type="dxa" w:w="1440"/>
          </w:tcPr>
          <w:p>
            <w:r>
              <w:rPr>
                <w:rFonts w:ascii="Calibri" w:hAnsi="Calibri"/>
                <w:sz w:val="22"/>
              </w:rPr>
              <w:t>~2.0%</w:t>
            </w:r>
          </w:p>
        </w:tc>
        <w:tc>
          <w:tcPr>
            <w:tcW w:type="dxa" w:w="1440"/>
          </w:tcPr>
          <w:p>
            <w:r>
              <w:rPr>
                <w:rFonts w:ascii="Calibri" w:hAnsi="Calibri"/>
                <w:sz w:val="22"/>
              </w:rPr>
              <w:t>3.2%</w:t>
            </w:r>
          </w:p>
        </w:tc>
        <w:tc>
          <w:tcPr>
            <w:tcW w:type="dxa" w:w="1440"/>
          </w:tcPr>
          <w:p>
            <w:r>
              <w:rPr>
                <w:rFonts w:ascii="Calibri" w:hAnsi="Calibri"/>
                <w:b/>
                <w:color w:val="30A46C"/>
                <w:sz w:val="22"/>
              </w:rPr>
              <w:t>Up ↑</w:t>
            </w:r>
          </w:p>
        </w:tc>
        <w:tc>
          <w:tcPr>
            <w:tcW w:type="dxa" w:w="1440"/>
          </w:tcPr>
          <w:p>
            <w:r>
              <w:rPr>
                <w:rFonts w:ascii="Calibri" w:hAnsi="Calibri"/>
                <w:sz w:val="22"/>
              </w:rPr>
              <w:t>"Solidly above 3%" (Jun 10 WFC)</w:t>
            </w:r>
          </w:p>
        </w:tc>
        <w:tc>
          <w:tcPr>
            <w:tcW w:type="dxa" w:w="1440"/>
          </w:tcPr>
          <w:p>
            <w:r>
              <w:rPr>
                <w:rFonts w:ascii="Calibri" w:hAnsi="Calibri"/>
                <w:sz w:val="22"/>
              </w:rPr>
              <w:t>+20 bps above floor; slight upside possible</w:t>
            </w:r>
          </w:p>
        </w:tc>
      </w:tr>
      <w:tr>
        <w:tc>
          <w:tcPr>
            <w:tcW w:type="dxa" w:w="1440"/>
          </w:tcPr>
          <w:p>
            <w:r>
              <w:rPr>
                <w:rFonts w:ascii="Calibri" w:hAnsi="Calibri"/>
                <w:sz w:val="22"/>
              </w:rPr>
              <w:t>Adj. EPS - Operating ($)</w:t>
            </w:r>
          </w:p>
        </w:tc>
        <w:tc>
          <w:tcPr>
            <w:tcW w:type="dxa" w:w="1440"/>
          </w:tcPr>
          <w:p>
            <w:r>
              <w:rPr>
                <w:rFonts w:ascii="Calibri" w:hAnsi="Calibri"/>
                <w:sz w:val="22"/>
              </w:rPr>
              <w:t>~$2.19</w:t>
            </w:r>
          </w:p>
        </w:tc>
        <w:tc>
          <w:tcPr>
            <w:tcW w:type="dxa" w:w="1440"/>
          </w:tcPr>
          <w:p>
            <w:r>
              <w:rPr>
                <w:rFonts w:ascii="Calibri" w:hAnsi="Calibri"/>
                <w:sz w:val="22"/>
              </w:rPr>
              <w:t>$2.25</w:t>
            </w:r>
          </w:p>
        </w:tc>
        <w:tc>
          <w:tcPr>
            <w:tcW w:type="dxa" w:w="1440"/>
          </w:tcPr>
          <w:p>
            <w:r>
              <w:rPr>
                <w:rFonts w:ascii="Calibri" w:hAnsi="Calibri"/>
                <w:b/>
                <w:color w:val="30A46C"/>
                <w:sz w:val="22"/>
              </w:rPr>
              <w:t>Up ↑</w:t>
            </w:r>
          </w:p>
        </w:tc>
        <w:tc>
          <w:tcPr>
            <w:tcW w:type="dxa" w:w="1440"/>
          </w:tcPr>
          <w:p>
            <w:r>
              <w:rPr>
                <w:rFonts w:ascii="Calibri" w:hAnsi="Calibri"/>
                <w:sz w:val="22"/>
              </w:rPr>
              <w:t>Grow &gt;$0.05 vs. Q1 ($2.14); FY $8.50–$8.70</w:t>
            </w:r>
          </w:p>
        </w:tc>
        <w:tc>
          <w:tcPr>
            <w:tcW w:type="dxa" w:w="1440"/>
          </w:tcPr>
          <w:p>
            <w:r>
              <w:rPr>
                <w:rFonts w:ascii="Calibri" w:hAnsi="Calibri"/>
                <w:sz w:val="22"/>
              </w:rPr>
              <w:t>In-line; FY tracking $0.05–$0.15 above midpoint</w:t>
            </w:r>
          </w:p>
        </w:tc>
      </w:tr>
      <w:tr>
        <w:tc>
          <w:tcPr>
            <w:tcW w:type="dxa" w:w="1440"/>
          </w:tcPr>
          <w:p>
            <w:r>
              <w:rPr>
                <w:rFonts w:ascii="Calibri" w:hAnsi="Calibri"/>
                <w:sz w:val="22"/>
              </w:rPr>
              <w:t>Operating Margin (%)</w:t>
            </w:r>
          </w:p>
        </w:tc>
        <w:tc>
          <w:tcPr>
            <w:tcW w:type="dxa" w:w="1440"/>
          </w:tcPr>
          <w:p>
            <w:r>
              <w:rPr>
                <w:rFonts w:ascii="Calibri" w:hAnsi="Calibri"/>
                <w:sz w:val="22"/>
              </w:rPr>
              <w:t>~24.5%</w:t>
            </w:r>
          </w:p>
        </w:tc>
        <w:tc>
          <w:tcPr>
            <w:tcW w:type="dxa" w:w="1440"/>
          </w:tcPr>
          <w:p>
            <w:r>
              <w:rPr>
                <w:rFonts w:ascii="Calibri" w:hAnsi="Calibri"/>
                <w:sz w:val="22"/>
              </w:rPr>
              <w:t>24.6%</w:t>
            </w:r>
          </w:p>
        </w:tc>
        <w:tc>
          <w:tcPr>
            <w:tcW w:type="dxa" w:w="1440"/>
          </w:tcPr>
          <w:p>
            <w:r>
              <w:rPr>
                <w:rFonts w:ascii="Calibri" w:hAnsi="Calibri"/>
                <w:sz w:val="22"/>
              </w:rPr>
              <w:t>Stable →</w:t>
            </w:r>
          </w:p>
        </w:tc>
        <w:tc>
          <w:tcPr>
            <w:tcW w:type="dxa" w:w="1440"/>
          </w:tcPr>
          <w:p>
            <w:r>
              <w:rPr>
                <w:rFonts w:ascii="Calibri" w:hAnsi="Calibri"/>
                <w:sz w:val="22"/>
              </w:rPr>
              <w:t>~24.5% (Q1 earnings call)</w:t>
            </w:r>
          </w:p>
        </w:tc>
        <w:tc>
          <w:tcPr>
            <w:tcW w:type="dxa" w:w="1440"/>
          </w:tcPr>
          <w:p>
            <w:r>
              <w:rPr>
                <w:rFonts w:ascii="Calibri" w:hAnsi="Calibri"/>
                <w:sz w:val="22"/>
              </w:rPr>
              <w:t>+10 bps above guidance; modest upside possible</w:t>
            </w:r>
          </w:p>
        </w:tc>
      </w:tr>
      <w:tr>
        <w:tc>
          <w:tcPr>
            <w:tcW w:type="dxa" w:w="1440"/>
          </w:tcPr>
          <w:p>
            <w:r>
              <w:rPr>
                <w:rFonts w:ascii="Calibri" w:hAnsi="Calibri"/>
                <w:sz w:val="22"/>
              </w:rPr>
              <w:t>FY 2026 Adj. EPS ($)</w:t>
            </w:r>
          </w:p>
        </w:tc>
        <w:tc>
          <w:tcPr>
            <w:tcW w:type="dxa" w:w="1440"/>
          </w:tcPr>
          <w:p>
            <w:r>
              <w:rPr>
                <w:rFonts w:ascii="Calibri" w:hAnsi="Calibri"/>
                <w:sz w:val="22"/>
              </w:rPr>
              <w:t>~$8.60</w:t>
            </w:r>
          </w:p>
        </w:tc>
        <w:tc>
          <w:tcPr>
            <w:tcW w:type="dxa" w:w="1440"/>
          </w:tcPr>
          <w:p>
            <w:r>
              <w:rPr>
                <w:rFonts w:ascii="Calibri" w:hAnsi="Calibri"/>
                <w:sz w:val="22"/>
              </w:rPr>
              <w:t>$8.75</w:t>
            </w:r>
          </w:p>
        </w:tc>
        <w:tc>
          <w:tcPr>
            <w:tcW w:type="dxa" w:w="1440"/>
          </w:tcPr>
          <w:p>
            <w:r>
              <w:rPr>
                <w:rFonts w:ascii="Calibri" w:hAnsi="Calibri"/>
                <w:b/>
                <w:color w:val="30A46C"/>
                <w:sz w:val="22"/>
              </w:rPr>
              <w:t>Up ↑</w:t>
            </w:r>
          </w:p>
        </w:tc>
        <w:tc>
          <w:tcPr>
            <w:tcW w:type="dxa" w:w="1440"/>
          </w:tcPr>
          <w:p>
            <w:r>
              <w:rPr>
                <w:rFonts w:ascii="Calibri" w:hAnsi="Calibri"/>
                <w:sz w:val="22"/>
              </w:rPr>
              <w:t>$8.50–$8.70 (midpoint $8.60)</w:t>
            </w:r>
          </w:p>
        </w:tc>
        <w:tc>
          <w:tcPr>
            <w:tcW w:type="dxa" w:w="1440"/>
          </w:tcPr>
          <w:p>
            <w:r>
              <w:rPr>
                <w:rFonts w:ascii="Calibri" w:hAnsi="Calibri"/>
                <w:sz w:val="22"/>
              </w:rPr>
              <w:t>+$0.15 above midpoint; contingency release potential</w:t>
            </w:r>
          </w:p>
        </w:tc>
      </w:tr>
      <w:tr>
        <w:tc>
          <w:tcPr>
            <w:tcW w:type="dxa" w:w="1440"/>
          </w:tcPr>
          <w:p>
            <w:r>
              <w:rPr>
                <w:rFonts w:ascii="Calibri" w:hAnsi="Calibri"/>
                <w:sz w:val="22"/>
              </w:rPr>
              <w:t>FY 2027 Adj. EPS ($)</w:t>
            </w:r>
          </w:p>
        </w:tc>
        <w:tc>
          <w:tcPr>
            <w:tcW w:type="dxa" w:w="1440"/>
          </w:tcPr>
          <w:p>
            <w:r>
              <w:rPr>
                <w:rFonts w:ascii="Calibri" w:hAnsi="Calibri"/>
                <w:sz w:val="22"/>
              </w:rPr>
              <w:t>~$9.40</w:t>
            </w:r>
          </w:p>
        </w:tc>
        <w:tc>
          <w:tcPr>
            <w:tcW w:type="dxa" w:w="1440"/>
          </w:tcPr>
          <w:p>
            <w:r>
              <w:rPr>
                <w:rFonts w:ascii="Calibri" w:hAnsi="Calibri"/>
                <w:sz w:val="22"/>
              </w:rPr>
              <w:t>$9.57</w:t>
            </w:r>
          </w:p>
        </w:tc>
        <w:tc>
          <w:tcPr>
            <w:tcW w:type="dxa" w:w="1440"/>
          </w:tcPr>
          <w:p>
            <w:r>
              <w:rPr>
                <w:rFonts w:ascii="Calibri" w:hAnsi="Calibri"/>
                <w:b/>
                <w:color w:val="30A46C"/>
                <w:sz w:val="22"/>
              </w:rPr>
              <w:t>Up ↑</w:t>
            </w:r>
          </w:p>
        </w:tc>
        <w:tc>
          <w:tcPr>
            <w:tcW w:type="dxa" w:w="1440"/>
          </w:tcPr>
          <w:p>
            <w:r>
              <w:rPr>
                <w:rFonts w:ascii="Calibri" w:hAnsi="Calibri"/>
                <w:sz w:val="22"/>
              </w:rPr>
              <w:t>No formal guidance</w:t>
            </w:r>
          </w:p>
        </w:tc>
        <w:tc>
          <w:tcPr>
            <w:tcW w:type="dxa" w:w="1440"/>
          </w:tcPr>
          <w:p>
            <w:r>
              <w:rPr>
                <w:rFonts w:ascii="Calibri" w:hAnsi="Calibri"/>
                <w:sz w:val="22"/>
              </w:rPr>
              <w:t>Reflects continued margin expansion expectations</w:t>
            </w:r>
          </w:p>
        </w:tc>
      </w:tr>
    </w:tbl>
    <w:p>
      <w:r>
        <w:rPr>
          <w:rFonts w:ascii="Calibri" w:hAnsi="Calibri"/>
          <w:i/>
          <w:color w:val="525866"/>
          <w:sz w:val="22"/>
        </w:rPr>
        <w:t>Source: Visible Alpha Consensus and Actuals Data; 3M Q1 2026 Earnings Call Transcript; 3M Wells Fargo Industrials &amp; Materials Conference (June 10, 2026).</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MMM has outperformed both the industrials sector (XLI) and the broader market (SPY) since Q1 2026 earnings, gaining ~7.2% vs. XLI +3.9% and SPY +5.4%. The stock has re-rated on the back of the Wells Fargo pre-guidance and EBO optionality, but is not yet pricing in a full beat — leaving room for further upside if Q2 delivers.</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MMM vs. XLI (Industrials ETF) vs. S&amp;P 500 (SPY) — Indexed to 100 at Q1 2026 Earnings (April 21, 2026). Source: Stock Price Data.</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Metric</w:t>
            </w:r>
          </w:p>
        </w:tc>
        <w:tc>
          <w:tcPr>
            <w:tcW w:type="dxa" w:w="2160"/>
            <w:shd w:val="clear" w:color="auto" w:fill="3B4259"/>
          </w:tcPr>
          <w:p>
            <w:r>
              <w:rPr>
                <w:rFonts w:ascii="Calibri" w:hAnsi="Calibri"/>
                <w:b/>
                <w:color w:val="FFFFFF"/>
                <w:sz w:val="22"/>
              </w:rPr>
              <w:t>MMM</w:t>
            </w:r>
          </w:p>
        </w:tc>
        <w:tc>
          <w:tcPr>
            <w:tcW w:type="dxa" w:w="2160"/>
            <w:shd w:val="clear" w:color="auto" w:fill="3B4259"/>
          </w:tcPr>
          <w:p>
            <w:r>
              <w:rPr>
                <w:rFonts w:ascii="Calibri" w:hAnsi="Calibri"/>
                <w:b/>
                <w:color w:val="FFFFFF"/>
                <w:sz w:val="22"/>
              </w:rPr>
              <w:t>XLI (Industrials)</w:t>
            </w:r>
          </w:p>
        </w:tc>
        <w:tc>
          <w:tcPr>
            <w:tcW w:type="dxa" w:w="2160"/>
            <w:shd w:val="clear" w:color="auto" w:fill="3B4259"/>
          </w:tcPr>
          <w:p>
            <w:r>
              <w:rPr>
                <w:rFonts w:ascii="Calibri" w:hAnsi="Calibri"/>
                <w:b/>
                <w:color w:val="FFFFFF"/>
                <w:sz w:val="22"/>
              </w:rPr>
              <w:t>SPY (S&amp;P 500)</w:t>
            </w:r>
          </w:p>
        </w:tc>
      </w:tr>
      <w:tr>
        <w:tc>
          <w:tcPr>
            <w:tcW w:type="dxa" w:w="2160"/>
          </w:tcPr>
          <w:p>
            <w:r>
              <w:rPr>
                <w:rFonts w:ascii="Calibri" w:hAnsi="Calibri"/>
                <w:sz w:val="22"/>
              </w:rPr>
              <w:t>Price at Q1 Earnings (Apr 21, 2026)</w:t>
            </w:r>
          </w:p>
        </w:tc>
        <w:tc>
          <w:tcPr>
            <w:tcW w:type="dxa" w:w="2160"/>
          </w:tcPr>
          <w:p>
            <w:r>
              <w:rPr>
                <w:rFonts w:ascii="Calibri" w:hAnsi="Calibri"/>
                <w:sz w:val="22"/>
              </w:rPr>
              <w:t>$148.47</w:t>
            </w:r>
          </w:p>
        </w:tc>
        <w:tc>
          <w:tcPr>
            <w:tcW w:type="dxa" w:w="2160"/>
          </w:tcPr>
          <w:p>
            <w:r>
              <w:rPr>
                <w:rFonts w:ascii="Calibri" w:hAnsi="Calibri"/>
                <w:sz w:val="22"/>
              </w:rPr>
              <w:t>$171.44</w:t>
            </w:r>
          </w:p>
        </w:tc>
        <w:tc>
          <w:tcPr>
            <w:tcW w:type="dxa" w:w="2160"/>
          </w:tcPr>
          <w:p>
            <w:r>
              <w:rPr>
                <w:rFonts w:ascii="Calibri" w:hAnsi="Calibri"/>
                <w:sz w:val="22"/>
              </w:rPr>
              <w:t>$704.08</w:t>
            </w:r>
          </w:p>
        </w:tc>
      </w:tr>
      <w:tr>
        <w:tc>
          <w:tcPr>
            <w:tcW w:type="dxa" w:w="2160"/>
          </w:tcPr>
          <w:p>
            <w:r>
              <w:rPr>
                <w:rFonts w:ascii="Calibri" w:hAnsi="Calibri"/>
                <w:sz w:val="22"/>
              </w:rPr>
              <w:t>Price as of Jul 20, 2026</w:t>
            </w:r>
          </w:p>
        </w:tc>
        <w:tc>
          <w:tcPr>
            <w:tcW w:type="dxa" w:w="2160"/>
          </w:tcPr>
          <w:p>
            <w:r>
              <w:rPr>
                <w:rFonts w:ascii="Calibri" w:hAnsi="Calibri"/>
                <w:sz w:val="22"/>
              </w:rPr>
              <w:t>$159.11</w:t>
            </w:r>
          </w:p>
        </w:tc>
        <w:tc>
          <w:tcPr>
            <w:tcW w:type="dxa" w:w="2160"/>
          </w:tcPr>
          <w:p>
            <w:r>
              <w:rPr>
                <w:rFonts w:ascii="Calibri" w:hAnsi="Calibri"/>
                <w:sz w:val="22"/>
              </w:rPr>
              <w:t>$178.12</w:t>
            </w:r>
          </w:p>
        </w:tc>
        <w:tc>
          <w:tcPr>
            <w:tcW w:type="dxa" w:w="2160"/>
          </w:tcPr>
          <w:p>
            <w:r>
              <w:rPr>
                <w:rFonts w:ascii="Calibri" w:hAnsi="Calibri"/>
                <w:sz w:val="22"/>
              </w:rPr>
              <w:t>$742.09</w:t>
            </w:r>
          </w:p>
        </w:tc>
      </w:tr>
      <w:tr>
        <w:tc>
          <w:tcPr>
            <w:tcW w:type="dxa" w:w="2160"/>
          </w:tcPr>
          <w:p>
            <w:r>
              <w:rPr>
                <w:rFonts w:ascii="Calibri" w:hAnsi="Calibri"/>
                <w:sz w:val="22"/>
              </w:rPr>
              <w:t>Return Since Q1 Earnings</w:t>
            </w:r>
          </w:p>
        </w:tc>
        <w:tc>
          <w:tcPr>
            <w:tcW w:type="dxa" w:w="2160"/>
          </w:tcPr>
          <w:p>
            <w:r>
              <w:rPr>
                <w:rFonts w:ascii="Calibri" w:hAnsi="Calibri"/>
                <w:b/>
                <w:color w:val="30A46C"/>
                <w:sz w:val="22"/>
              </w:rPr>
              <w:t>+7.2%</w:t>
            </w:r>
          </w:p>
        </w:tc>
        <w:tc>
          <w:tcPr>
            <w:tcW w:type="dxa" w:w="2160"/>
          </w:tcPr>
          <w:p>
            <w:r>
              <w:rPr>
                <w:rFonts w:ascii="Calibri" w:hAnsi="Calibri"/>
                <w:sz w:val="22"/>
              </w:rPr>
              <w:t>+3.9%</w:t>
            </w:r>
          </w:p>
        </w:tc>
        <w:tc>
          <w:tcPr>
            <w:tcW w:type="dxa" w:w="2160"/>
          </w:tcPr>
          <w:p>
            <w:r>
              <w:rPr>
                <w:rFonts w:ascii="Calibri" w:hAnsi="Calibri"/>
                <w:sz w:val="22"/>
              </w:rPr>
              <w:t>+5.4%</w:t>
            </w:r>
          </w:p>
        </w:tc>
      </w:tr>
      <w:tr>
        <w:tc>
          <w:tcPr>
            <w:tcW w:type="dxa" w:w="2160"/>
          </w:tcPr>
          <w:p>
            <w:r>
              <w:rPr>
                <w:rFonts w:ascii="Calibri" w:hAnsi="Calibri"/>
                <w:sz w:val="22"/>
              </w:rPr>
              <w:t>Indexed Value (Base = 100)</w:t>
            </w:r>
          </w:p>
        </w:tc>
        <w:tc>
          <w:tcPr>
            <w:tcW w:type="dxa" w:w="2160"/>
          </w:tcPr>
          <w:p>
            <w:r>
              <w:rPr>
                <w:rFonts w:ascii="Calibri" w:hAnsi="Calibri"/>
                <w:sz w:val="22"/>
              </w:rPr>
              <w:t>107.2</w:t>
            </w:r>
          </w:p>
        </w:tc>
        <w:tc>
          <w:tcPr>
            <w:tcW w:type="dxa" w:w="2160"/>
          </w:tcPr>
          <w:p>
            <w:r>
              <w:rPr>
                <w:rFonts w:ascii="Calibri" w:hAnsi="Calibri"/>
                <w:sz w:val="22"/>
              </w:rPr>
              <w:t>103.9</w:t>
            </w:r>
          </w:p>
        </w:tc>
        <w:tc>
          <w:tcPr>
            <w:tcW w:type="dxa" w:w="2160"/>
          </w:tcPr>
          <w:p>
            <w:r>
              <w:rPr>
                <w:rFonts w:ascii="Calibri" w:hAnsi="Calibri"/>
                <w:sz w:val="22"/>
              </w:rPr>
              <w:t>105.4</w:t>
            </w:r>
          </w:p>
        </w:tc>
      </w:tr>
    </w:tbl>
    <w:p>
      <w:r>
        <w:rPr>
          <w:rFonts w:ascii="Calibri" w:hAnsi="Calibri"/>
          <w:b/>
          <w:color w:val="525866"/>
          <w:sz w:val="22"/>
        </w:rPr>
        <w:t>Key Events Since Q1 Earnings:</w:t>
      </w:r>
    </w:p>
    <w:p>
      <w:pPr>
        <w:pStyle w:val="ListBullet"/>
        <w:ind w:left="360" w:hanging="360"/>
      </w:pPr>
      <w:r>
        <w:rPr>
          <w:rFonts w:ascii="Calibri" w:hAnsi="Calibri"/>
          <w:b/>
          <w:color w:val="525866"/>
          <w:sz w:val="22"/>
        </w:rPr>
        <w:t xml:space="preserve">May 6, 2026: </w:t>
      </w:r>
      <w:r>
        <w:rPr>
          <w:rFonts w:ascii="Calibri" w:hAnsi="Calibri"/>
          <w:color w:val="525866"/>
          <w:sz w:val="22"/>
        </w:rPr>
        <w:t>3M subsidiary secured $1.63B credit facility for the Madison Fire &amp; Rescue JV acquisition.</w:t>
      </w:r>
    </w:p>
    <w:p>
      <w:pPr>
        <w:pStyle w:val="ListBullet"/>
        <w:ind w:left="360" w:hanging="360"/>
      </w:pPr>
      <w:r>
        <w:rPr>
          <w:rFonts w:ascii="Calibri" w:hAnsi="Calibri"/>
          <w:b/>
          <w:color w:val="525866"/>
          <w:sz w:val="22"/>
        </w:rPr>
        <w:t xml:space="preserve">June 10, 2026: </w:t>
      </w:r>
      <w:r>
        <w:rPr>
          <w:rFonts w:ascii="Calibri" w:hAnsi="Calibri"/>
          <w:color w:val="525866"/>
          <w:sz w:val="22"/>
        </w:rPr>
        <w:t>Wells Fargo Industrials &amp; Materials Conference — management raised Q2 organic growth guidance to "solidly above 3%", walked back pre-buy characterization, confirmed macro contingency unlikely to be needed. Stock re-rated on the day.</w:t>
      </w:r>
    </w:p>
    <w:p>
      <w:pPr>
        <w:pStyle w:val="ListBullet"/>
        <w:ind w:left="360" w:hanging="360"/>
      </w:pPr>
      <w:r>
        <w:rPr>
          <w:rFonts w:ascii="Calibri" w:hAnsi="Calibri"/>
          <w:b/>
          <w:color w:val="525866"/>
          <w:sz w:val="22"/>
        </w:rPr>
        <w:t xml:space="preserve">July 1, 2026: </w:t>
      </w:r>
      <w:r>
        <w:rPr>
          <w:rFonts w:ascii="Calibri" w:hAnsi="Calibri"/>
          <w:color w:val="525866"/>
          <w:sz w:val="22"/>
        </w:rPr>
        <w:t>Madison Fire &amp; Rescue JV officially closed; new division within Safety &amp; Industrial effective Q3 2026.</w:t>
      </w:r>
    </w:p>
    <w:p>
      <w:r>
        <w:rPr>
          <w:rFonts w:ascii="Calibri" w:hAnsi="Calibri"/>
          <w:i/>
          <w:color w:val="525866"/>
          <w:sz w:val="22"/>
        </w:rPr>
        <w:t>Source: Stock Price Data.</w:t>
      </w:r>
    </w:p>
    <w:p>
      <w:r>
        <w:br w:type="page"/>
      </w:r>
    </w:p>
    <w:p>
      <w:pPr>
        <w:pStyle w:val="Heading2"/>
      </w:pPr>
      <w:r>
        <w:rPr>
          <w:rFonts w:ascii="Calibri" w:hAnsi="Calibri"/>
          <w:b/>
          <w:color w:val="3B4259"/>
          <w:sz w:val="28"/>
        </w:rPr>
        <w:t>6. Material News &amp; Developments (Since Q1 2026 Earnings)</w:t>
      </w:r>
    </w:p>
    <w:p>
      <w:r>
        <w:rPr>
          <w:rFonts w:ascii="Calibri" w:hAnsi="Calibri"/>
          <w:b/>
          <w:color w:val="525866"/>
          <w:sz w:val="22"/>
        </w:rPr>
        <w:t xml:space="preserve">Key Takeaway: </w:t>
      </w:r>
      <w:r>
        <w:rPr>
          <w:rFonts w:ascii="Calibri" w:hAnsi="Calibri"/>
          <w:color w:val="525866"/>
          <w:sz w:val="22"/>
        </w:rPr>
        <w:t>The post-Q1 news flow has been uniformly positive — the Madison JV closed on schedule, the Wells Fargo conference delivered a de facto pre-announcement, and the EBO data center opportunity continues to expand. No material negative developments have emerged.</w:t>
      </w:r>
    </w:p>
    <w:p>
      <w:pPr>
        <w:pStyle w:val="ListBullet"/>
        <w:ind w:left="360" w:hanging="360"/>
      </w:pPr>
      <w:r>
        <w:rPr>
          <w:rFonts w:ascii="Calibri" w:hAnsi="Calibri"/>
          <w:b/>
          <w:color w:val="525866"/>
          <w:sz w:val="22"/>
        </w:rPr>
        <w:t xml:space="preserve">EBO / Data Center TAM Expansion (Ongoing): </w:t>
      </w:r>
      <w:r>
        <w:rPr>
          <w:rFonts w:ascii="Calibri" w:hAnsi="Calibri"/>
          <w:color w:val="525866"/>
          <w:sz w:val="22"/>
        </w:rPr>
        <w:t>Management revised the Expanded Beam Optics TAM from &gt;$1B to &gt;$2B within 90 days of Q1 earnings. The first hyperscaler order was placed in Q1 2026 for back-half delivery. Capacity expansion announced earlier in the year is now viewed as potentially insufficient, and management is actively investing to keep pace with demand. This is the single largest emerging growth driver for the Transportation &amp; Electronics segment.</w:t>
      </w:r>
    </w:p>
    <w:p>
      <w:pPr>
        <w:pStyle w:val="ListBullet"/>
        <w:ind w:left="360" w:hanging="360"/>
      </w:pPr>
      <w:r>
        <w:rPr>
          <w:rFonts w:ascii="Calibri" w:hAnsi="Calibri"/>
          <w:b/>
          <w:color w:val="525866"/>
          <w:sz w:val="22"/>
        </w:rPr>
        <w:t xml:space="preserve">Madison Fire &amp; Rescue JV — Closed July 1, 2026 (8-K, May 6 / July 1): </w:t>
      </w:r>
      <w:r>
        <w:rPr>
          <w:rFonts w:ascii="Calibri" w:hAnsi="Calibri"/>
          <w:color w:val="525866"/>
          <w:sz w:val="22"/>
        </w:rPr>
        <w:t>3M's subsidiary secured a $1.63B credit facility (8-K, May 6) to fund the acquisition. The JV closed on July 1, 2026 as planned, and will be reported as a separate division within Safety &amp; Industrial starting Q3 2026. Management has highlighted cross-sell and international expansion opportunities.</w:t>
      </w:r>
    </w:p>
    <w:p>
      <w:pPr>
        <w:pStyle w:val="ListBullet"/>
        <w:ind w:left="360" w:hanging="360"/>
      </w:pPr>
      <w:r>
        <w:rPr>
          <w:rFonts w:ascii="Calibri" w:hAnsi="Calibri"/>
          <w:b/>
          <w:color w:val="525866"/>
          <w:sz w:val="22"/>
        </w:rPr>
        <w:t xml:space="preserve">Wells Fargo Conference Pre-Guidance (June 10, 2026): </w:t>
      </w:r>
      <w:r>
        <w:rPr>
          <w:rFonts w:ascii="Calibri" w:hAnsi="Calibri"/>
          <w:color w:val="525866"/>
          <w:sz w:val="22"/>
        </w:rPr>
        <w:t>CEO Brown raised Q2 organic growth guidance to "solidly above 3%" (from "above 3%" at Q1 earnings), confirmed orders and backlog continued to build through June, walked back the pre-buy characterization, and stated the macro contingency (Middle East/oil) is not expected to be needed. This was effectively a positive pre-announcement.</w:t>
      </w:r>
    </w:p>
    <w:p>
      <w:pPr>
        <w:pStyle w:val="ListBullet"/>
        <w:ind w:left="360" w:hanging="360"/>
      </w:pPr>
      <w:r>
        <w:rPr>
          <w:rFonts w:ascii="Calibri" w:hAnsi="Calibri"/>
          <w:b/>
          <w:color w:val="525866"/>
          <w:sz w:val="22"/>
        </w:rPr>
        <w:t xml:space="preserve">Annual Meeting — Board Re-Elected, Executive Pay Approved (May 13, 2026): </w:t>
      </w:r>
      <w:r>
        <w:rPr>
          <w:rFonts w:ascii="Calibri" w:hAnsi="Calibri"/>
          <w:color w:val="525866"/>
          <w:sz w:val="22"/>
        </w:rPr>
        <w:t>Shareholders re-elected the full board and approved executive compensation at the annual meeting. No activist or governance concerns emerged.</w:t>
      </w:r>
    </w:p>
    <w:p>
      <w:pPr>
        <w:pStyle w:val="ListBullet"/>
        <w:ind w:left="360" w:hanging="360"/>
      </w:pPr>
      <w:r>
        <w:rPr>
          <w:rFonts w:ascii="Calibri" w:hAnsi="Calibri"/>
          <w:b/>
          <w:color w:val="525866"/>
          <w:sz w:val="22"/>
        </w:rPr>
        <w:t xml:space="preserve">Productivity Program Progress: </w:t>
      </w:r>
      <w:r>
        <w:rPr>
          <w:rFonts w:ascii="Calibri" w:hAnsi="Calibri"/>
          <w:color w:val="525866"/>
          <w:sz w:val="22"/>
        </w:rPr>
        <w:t>Management confirmed at the June Wells Fargo conference that the company will be at least halfway to its $1B annualized productivity target by end of 2026. Cost of poor quality improved from &gt;7% to ~5.5% of COGS by Q1 2026, with several hundred million dollars of additional improvement opportunity remaining. Network consolidation (factory count targeted below 100) is an increasing contributor.</w:t>
      </w:r>
    </w:p>
    <w:p>
      <w:pPr>
        <w:pStyle w:val="ListBullet"/>
        <w:ind w:left="360" w:hanging="360"/>
      </w:pPr>
      <w:r>
        <w:rPr>
          <w:rFonts w:ascii="Calibri" w:hAnsi="Calibri"/>
          <w:b/>
          <w:color w:val="525866"/>
          <w:sz w:val="22"/>
        </w:rPr>
        <w:t xml:space="preserve">Outgrowth vs. Macro — Ahead of Schedule: </w:t>
      </w:r>
      <w:r>
        <w:rPr>
          <w:rFonts w:ascii="Calibri" w:hAnsi="Calibri"/>
          <w:color w:val="525866"/>
          <w:sz w:val="22"/>
        </w:rPr>
        <w:t>3M is tracking ahead of its three-year $1B above-macro growth target. 2026 is on pace to exceed the next step-up milestone, with driver mix shifting from predominantly commercial excellence in 2025 toward roughly equal commercial excellence and innovation in 2026.</w:t>
      </w:r>
    </w:p>
    <w:p>
      <w:r>
        <w:br w:type="page"/>
      </w:r>
    </w:p>
    <w:p>
      <w:pPr>
        <w:pStyle w:val="Heading2"/>
      </w:pPr>
      <w:r>
        <w:rPr>
          <w:rFonts w:ascii="Calibri" w:hAnsi="Calibri"/>
          <w:b/>
          <w:color w:val="3B4259"/>
          <w:sz w:val="28"/>
        </w:rPr>
        <w:t>7. Peer Commentaries — Q2 2026 Read-Throughs</w:t>
      </w:r>
    </w:p>
    <w:p>
      <w:r>
        <w:rPr>
          <w:rFonts w:ascii="Calibri" w:hAnsi="Calibri"/>
          <w:b/>
          <w:color w:val="525866"/>
          <w:sz w:val="22"/>
        </w:rPr>
        <w:t xml:space="preserve">Key Takeaway: </w:t>
      </w:r>
      <w:r>
        <w:rPr>
          <w:rFonts w:ascii="Calibri" w:hAnsi="Calibri"/>
          <w:color w:val="525866"/>
          <w:sz w:val="22"/>
        </w:rPr>
        <w:t>Peer commentary from Q2 2026 reporting season is broadly constructive for MMM's setup. Industrial end markets (CapEx, semis, aerospace/defense, power) are showing strong momentum, tariff impacts are being managed, and order/backlog trends are healthy. The main watch item is auto/consumer softness and Middle East-related disruptions, which are consistent with MMM's own Q1 commentary.</w:t>
      </w:r>
    </w:p>
    <w:p>
      <w:r>
        <w:rPr>
          <w:rFonts w:ascii="Calibri" w:hAnsi="Calibri"/>
          <w:i/>
          <w:color w:val="525866"/>
          <w:sz w:val="22"/>
        </w:rPr>
        <w:t>Note: Only commentary from peers reporting on or after April 21, 2026 (MMM's Q1 2026 earnings date) is included below, focused on observations about Q2 2026 conditions or the current reporting quarter. Prior-quarter results commentary is excluded.</w:t>
      </w:r>
    </w:p>
    <w:p>
      <w:pPr>
        <w:pStyle w:val="Heading3"/>
      </w:pPr>
      <w:r>
        <w:rPr>
          <w:rFonts w:ascii="Calibri" w:hAnsi="Calibri"/>
          <w:b/>
          <w:color w:val="3B4259"/>
          <w:sz w:val="24"/>
        </w:rPr>
        <w:t>GE Aerospace (GE) — Q2 2026 Earnings (July 16, 2026)</w:t>
      </w:r>
    </w:p>
    <w:p>
      <w:r>
        <w:rPr>
          <w:rFonts w:ascii="Calibri" w:hAnsi="Calibri"/>
          <w:b/>
          <w:color w:val="525866"/>
          <w:sz w:val="22"/>
        </w:rPr>
        <w:t xml:space="preserve">Relevance to MMM: </w:t>
      </w:r>
      <w:r>
        <w:rPr>
          <w:rFonts w:ascii="Calibri" w:hAnsi="Calibri"/>
          <w:color w:val="525866"/>
          <w:sz w:val="22"/>
        </w:rPr>
        <w:t>GE Aerospace's Q2 2026 results are the most timely read-through for MMM's Transportation &amp; Electronics segment (aerospace/defense) and Safety &amp; Industrial (MRO, industrial demand). GE reported on July 16, just days before MMM's expected print.</w:t>
      </w:r>
    </w:p>
    <w:p>
      <w:pPr>
        <w:pStyle w:val="ListBullet"/>
        <w:ind w:left="360" w:hanging="360"/>
      </w:pPr>
      <w:r>
        <w:rPr>
          <w:rFonts w:ascii="Calibri" w:hAnsi="Calibri"/>
          <w:b/>
          <w:color w:val="525866"/>
          <w:sz w:val="22"/>
        </w:rPr>
        <w:t xml:space="preserve">Aerospace demand remains robust: </w:t>
      </w:r>
      <w:r>
        <w:rPr>
          <w:rFonts w:ascii="Calibri" w:hAnsi="Calibri"/>
          <w:color w:val="525866"/>
          <w:sz w:val="22"/>
        </w:rPr>
        <w:t>GE Aerospace reported strong Q2 2026 results with continued healthy demand across commercial and defense aerospace. Services revenue and equipment orders both showed strength, consistent with MMM's T&amp;E backlog build in aerospace.</w:t>
      </w:r>
    </w:p>
    <w:p>
      <w:pPr>
        <w:pStyle w:val="ListBullet"/>
        <w:ind w:left="360" w:hanging="360"/>
      </w:pPr>
      <w:r>
        <w:rPr>
          <w:rFonts w:ascii="Calibri" w:hAnsi="Calibri"/>
          <w:b/>
          <w:color w:val="525866"/>
          <w:sz w:val="22"/>
        </w:rPr>
        <w:t xml:space="preserve">Defense spending acceleration: </w:t>
      </w:r>
      <w:r>
        <w:rPr>
          <w:rFonts w:ascii="Calibri" w:hAnsi="Calibri"/>
          <w:color w:val="525866"/>
          <w:sz w:val="22"/>
        </w:rPr>
        <w:t>GE highlighted accelerating defense orders and a strong pipeline, which is a positive read-through for MMM's aerospace-related products within T&amp;E and Safety &amp; Industrial.</w:t>
      </w:r>
    </w:p>
    <w:p>
      <w:pPr>
        <w:pStyle w:val="ListBullet"/>
        <w:ind w:left="360" w:hanging="360"/>
      </w:pPr>
      <w:r>
        <w:rPr>
          <w:rFonts w:ascii="Calibri" w:hAnsi="Calibri"/>
          <w:b/>
          <w:color w:val="525866"/>
          <w:sz w:val="22"/>
        </w:rPr>
        <w:t xml:space="preserve">Supply chain normalization: </w:t>
      </w:r>
      <w:r>
        <w:rPr>
          <w:rFonts w:ascii="Calibri" w:hAnsi="Calibri"/>
          <w:color w:val="525866"/>
          <w:sz w:val="22"/>
        </w:rPr>
        <w:t>GE noted continued improvement in supply chain conditions, which is consistent with MMM's OTIF performance remaining at multi-decade highs and supports MMM's ability to convert its backlog to revenue in Q2.</w:t>
      </w:r>
    </w:p>
    <w:p>
      <w:pPr>
        <w:pStyle w:val="Heading3"/>
      </w:pPr>
      <w:r>
        <w:rPr>
          <w:rFonts w:ascii="Calibri" w:hAnsi="Calibri"/>
          <w:b/>
          <w:color w:val="3B4259"/>
          <w:sz w:val="24"/>
        </w:rPr>
        <w:t>Emerson Electric (EMR) — Q2 2026 Earnings (May 5, 2026)</w:t>
      </w:r>
    </w:p>
    <w:p>
      <w:r>
        <w:rPr>
          <w:rFonts w:ascii="Calibri" w:hAnsi="Calibri"/>
          <w:b/>
          <w:color w:val="525866"/>
          <w:sz w:val="22"/>
        </w:rPr>
        <w:t xml:space="preserve">Relevance to MMM: </w:t>
      </w:r>
      <w:r>
        <w:rPr>
          <w:rFonts w:ascii="Calibri" w:hAnsi="Calibri"/>
          <w:color w:val="525866"/>
          <w:sz w:val="22"/>
        </w:rPr>
        <w:t>Emerson is a direct read-through for industrial automation, process control, electronics/semis (Test &amp; Measurement), and safety end markets. EMR's Q2 2026 results (fiscal Q2, reported May 5) cover the same calendar period as MMM's Q2 2026.</w:t>
      </w:r>
    </w:p>
    <w:p>
      <w:pPr>
        <w:pStyle w:val="ListBullet"/>
        <w:ind w:left="360" w:hanging="360"/>
      </w:pPr>
      <w:r>
        <w:rPr>
          <w:rFonts w:ascii="Calibri" w:hAnsi="Calibri"/>
          <w:b/>
          <w:color w:val="525866"/>
          <w:sz w:val="22"/>
        </w:rPr>
        <w:t xml:space="preserve">Underlying orders grew 5% in Q2 2026: </w:t>
      </w:r>
      <w:r>
        <w:rPr>
          <w:rFonts w:ascii="Calibri" w:hAnsi="Calibri"/>
          <w:color w:val="525866"/>
          <w:sz w:val="22"/>
        </w:rPr>
        <w:t>Emerson reported 5% underlying order growth in Q2, "consistent with expectations and supporting our second half sales plan." North America and India were key drivers. This is a positive read-through for MMM's Safety &amp; Industrial and T&amp;E order momentum.</w:t>
      </w:r>
    </w:p>
    <w:p>
      <w:pPr>
        <w:pStyle w:val="ListBullet"/>
        <w:ind w:left="360" w:hanging="360"/>
      </w:pPr>
      <w:r>
        <w:rPr>
          <w:rFonts w:ascii="Calibri" w:hAnsi="Calibri"/>
          <w:b/>
          <w:color w:val="525866"/>
          <w:sz w:val="22"/>
        </w:rPr>
        <w:t xml:space="preserve">Growth verticals up 22% — power, semis, aerospace/defense leading: </w:t>
      </w:r>
      <w:r>
        <w:rPr>
          <w:rFonts w:ascii="Calibri" w:hAnsi="Calibri"/>
          <w:color w:val="525866"/>
          <w:sz w:val="22"/>
        </w:rPr>
        <w:t>Emerson's growth verticals (power, life sciences, semis, aerospace/defense) were up 22% in Q2. Power was up 23%, driven by data center behind-the-meter generation and plant modernizations. Test &amp; Measurement was up 12%, led by semis and aerospace/defense. This is a strong positive read-through for MMM's EBO/data center and semiconductor-related products within T&amp;E.</w:t>
      </w:r>
    </w:p>
    <w:p>
      <w:pPr>
        <w:pStyle w:val="ListBullet"/>
        <w:ind w:left="360" w:hanging="360"/>
      </w:pPr>
      <w:r>
        <w:rPr>
          <w:rFonts w:ascii="Calibri" w:hAnsi="Calibri"/>
          <w:b/>
          <w:color w:val="525866"/>
          <w:sz w:val="22"/>
        </w:rPr>
        <w:t xml:space="preserve">Backlog at $8.2B, up 9% YoY; book-to-bill of 1.07: </w:t>
      </w:r>
      <w:r>
        <w:rPr>
          <w:rFonts w:ascii="Calibri" w:hAnsi="Calibri"/>
          <w:color w:val="525866"/>
          <w:sz w:val="22"/>
        </w:rPr>
        <w:t>Emerson's backlog and book-to-bill both signal continued demand strength, consistent with MMM's own backlog build commentary. The project funnel grew to $11.2B, primarily from new power opportunities.</w:t>
      </w:r>
    </w:p>
    <w:p>
      <w:pPr>
        <w:pStyle w:val="ListBullet"/>
        <w:ind w:left="360" w:hanging="360"/>
      </w:pPr>
      <w:r>
        <w:rPr>
          <w:rFonts w:ascii="Calibri" w:hAnsi="Calibri"/>
          <w:b/>
          <w:color w:val="525866"/>
          <w:sz w:val="22"/>
        </w:rPr>
        <w:t xml:space="preserve">Middle East conflict caused ~1-point sales headwind: </w:t>
      </w:r>
      <w:r>
        <w:rPr>
          <w:rFonts w:ascii="Calibri" w:hAnsi="Calibri"/>
          <w:color w:val="525866"/>
          <w:sz w:val="22"/>
        </w:rPr>
        <w:t>Emerson flagged a 1-point impact from the Middle East conflict on Q2 underlying sales growth (reported 0.5% vs. ~3% ex-Middle East). This is directly relevant to MMM's macro contingency — management had embedded a Middle East/oil contingency in FY guidance, which they said at the June Wells Fargo conference was unlikely to be needed. Emerson's experience suggests the headwind is real but manageable.</w:t>
      </w:r>
    </w:p>
    <w:p>
      <w:pPr>
        <w:pStyle w:val="ListBullet"/>
        <w:ind w:left="360" w:hanging="360"/>
      </w:pPr>
      <w:r>
        <w:rPr>
          <w:rFonts w:ascii="Calibri" w:hAnsi="Calibri"/>
          <w:b/>
          <w:color w:val="525866"/>
          <w:sz w:val="22"/>
        </w:rPr>
        <w:t xml:space="preserve">Automotive/transportation remains the weakest segment: </w:t>
      </w:r>
      <w:r>
        <w:rPr>
          <w:rFonts w:ascii="Calibri" w:hAnsi="Calibri"/>
          <w:color w:val="525866"/>
          <w:sz w:val="22"/>
        </w:rPr>
        <w:t>Emerson noted automotive is the weakest segment within Test &amp; Measurement, though they believe it has "hit bottom" and will start growing low single digits. This is consistent with MMM's Q1 commentary on auto softness and supports the view that auto is a headwind but not a deteriorating one.</w:t>
      </w:r>
    </w:p>
    <w:p>
      <w:pPr>
        <w:pStyle w:val="ListBullet"/>
        <w:ind w:left="360" w:hanging="360"/>
      </w:pPr>
      <w:r>
        <w:rPr>
          <w:rFonts w:ascii="Calibri" w:hAnsi="Calibri"/>
          <w:b/>
          <w:color w:val="525866"/>
          <w:sz w:val="22"/>
        </w:rPr>
        <w:t xml:space="preserve">Tariff impact net neutral: </w:t>
      </w:r>
      <w:r>
        <w:rPr>
          <w:rFonts w:ascii="Calibri" w:hAnsi="Calibri"/>
          <w:color w:val="525866"/>
          <w:sz w:val="22"/>
        </w:rPr>
        <w:t>Emerson expects a net neutral tariff impact from the removal of IEEPA tariffs, offset by Section 122/232 increases and freight costs. This is broadly consistent with MMM's tariff management approach and suggests the industrial sector has largely absorbed tariff headwinds.</w:t>
      </w:r>
    </w:p>
    <w:p>
      <w:pPr>
        <w:pStyle w:val="ListBullet"/>
        <w:ind w:left="360" w:hanging="360"/>
      </w:pPr>
      <w:r>
        <w:rPr>
          <w:rFonts w:ascii="Calibri" w:hAnsi="Calibri"/>
          <w:b/>
          <w:color w:val="525866"/>
          <w:sz w:val="22"/>
        </w:rPr>
        <w:t xml:space="preserve">Europe stable but soft; China slower than expected: </w:t>
      </w:r>
      <w:r>
        <w:rPr>
          <w:rFonts w:ascii="Calibri" w:hAnsi="Calibri"/>
          <w:color w:val="525866"/>
          <w:sz w:val="22"/>
        </w:rPr>
        <w:t>Emerson flagged stable but soft European demand and a slower-than-expected China start. MMM has limited direct China exposure but meaningful European operations — this is a modest watch item for MMM's international organic growth.</w:t>
      </w:r>
    </w:p>
    <w:p>
      <w:pPr>
        <w:pStyle w:val="Heading3"/>
      </w:pPr>
      <w:r>
        <w:rPr>
          <w:rFonts w:ascii="Calibri" w:hAnsi="Calibri"/>
          <w:b/>
          <w:color w:val="3B4259"/>
          <w:sz w:val="24"/>
        </w:rPr>
        <w:t>Illinois Tool Works (ITW) — Q1 2026 Earnings (April 30, 2026)</w:t>
      </w:r>
    </w:p>
    <w:p>
      <w:r>
        <w:rPr>
          <w:rFonts w:ascii="Calibri" w:hAnsi="Calibri"/>
          <w:b/>
          <w:color w:val="525866"/>
          <w:sz w:val="22"/>
        </w:rPr>
        <w:t xml:space="preserve">Relevance to MMM: </w:t>
      </w:r>
      <w:r>
        <w:rPr>
          <w:rFonts w:ascii="Calibri" w:hAnsi="Calibri"/>
          <w:color w:val="525866"/>
          <w:sz w:val="22"/>
        </w:rPr>
        <w:t>ITW is one of the closest structural peers to MMM — diversified industrial manufacturer with strong margin discipline, similar end market exposure (welding, electronics, food equipment, auto), and a comparable productivity-driven margin expansion story. ITW's Q1 2026 results (reported April 30) and Q2 2026 outlook are highly relevant.</w:t>
      </w:r>
    </w:p>
    <w:p>
      <w:pPr>
        <w:pStyle w:val="ListBullet"/>
        <w:ind w:left="360" w:hanging="360"/>
      </w:pPr>
      <w:r>
        <w:rPr>
          <w:rFonts w:ascii="Calibri" w:hAnsi="Calibri"/>
          <w:b/>
          <w:color w:val="525866"/>
          <w:sz w:val="22"/>
        </w:rPr>
        <w:t xml:space="preserve">Q2 2026 organic growth trending toward high end of 1%–3% range: </w:t>
      </w:r>
      <w:r>
        <w:rPr>
          <w:rFonts w:ascii="Calibri" w:hAnsi="Calibri"/>
          <w:color w:val="525866"/>
          <w:sz w:val="22"/>
        </w:rPr>
        <w:t>ITW reported March organic growth of +4% and noted April was "off to a really good start," trending toward the high end of its 1%–3% full-year guidance range. This is a positive read-through for MMM's Q2 organic growth acceleration.</w:t>
      </w:r>
    </w:p>
    <w:p>
      <w:pPr>
        <w:pStyle w:val="ListBullet"/>
        <w:ind w:left="360" w:hanging="360"/>
      </w:pPr>
      <w:r>
        <w:rPr>
          <w:rFonts w:ascii="Calibri" w:hAnsi="Calibri"/>
          <w:b/>
          <w:color w:val="525866"/>
          <w:sz w:val="22"/>
        </w:rPr>
        <w:t xml:space="preserve">CapEx and industrial markets "very strong, great order activity": </w:t>
      </w:r>
      <w:r>
        <w:rPr>
          <w:rFonts w:ascii="Calibri" w:hAnsi="Calibri"/>
          <w:color w:val="525866"/>
          <w:sz w:val="22"/>
        </w:rPr>
        <w:t>ITW described industrial and CapEx markets as "very strong" with continued order strength into Q2. Welding was up 6% and Test &amp; Measurement/Electronics up 5% in Q1, with strength broad-based beyond industrial into commercial platforms. This is a direct positive read-through for MMM's Safety &amp; Industrial and T&amp;E segments.</w:t>
      </w:r>
    </w:p>
    <w:p>
      <w:pPr>
        <w:pStyle w:val="ListBullet"/>
        <w:ind w:left="360" w:hanging="360"/>
      </w:pPr>
      <w:r>
        <w:rPr>
          <w:rFonts w:ascii="Calibri" w:hAnsi="Calibri"/>
          <w:b/>
          <w:color w:val="525866"/>
          <w:sz w:val="22"/>
        </w:rPr>
        <w:t xml:space="preserve">Electronics/semis up 10%+ in Q1; positive demand trends sustainable: </w:t>
      </w:r>
      <w:r>
        <w:rPr>
          <w:rFonts w:ascii="Calibri" w:hAnsi="Calibri"/>
          <w:color w:val="525866"/>
          <w:sz w:val="22"/>
        </w:rPr>
        <w:t>ITW's Test &amp; Measurement and Electronics segment had its "highest growth rate in 3 years" at 5% organic, with electronics up 10% and semi-related businesses up &gt;15%. Market indicators (fab utilization, customer signals, order activity) support sustainability. This is a strong positive read-through for MMM's semiconductor and EBO-related products.</w:t>
      </w:r>
    </w:p>
    <w:p>
      <w:pPr>
        <w:pStyle w:val="ListBullet"/>
        <w:ind w:left="360" w:hanging="360"/>
      </w:pPr>
      <w:r>
        <w:rPr>
          <w:rFonts w:ascii="Calibri" w:hAnsi="Calibri"/>
          <w:b/>
          <w:color w:val="525866"/>
          <w:sz w:val="22"/>
        </w:rPr>
        <w:t xml:space="preserve">Q2 operating margins guided ~26.5%–27% (&gt;100 bps sequential improvement): </w:t>
      </w:r>
      <w:r>
        <w:rPr>
          <w:rFonts w:ascii="Calibri" w:hAnsi="Calibri"/>
          <w:color w:val="525866"/>
          <w:sz w:val="22"/>
        </w:rPr>
        <w:t>ITW guided Q2 operating margins to improve more than 100 bps sequentially from Q1's 25.4%, to ~26.5%–27%. This is consistent with the broader industrial margin expansion trend and supports MMM's ~24.5% Q2 margin guidance.</w:t>
      </w:r>
    </w:p>
    <w:p>
      <w:pPr>
        <w:pStyle w:val="ListBullet"/>
        <w:ind w:left="360" w:hanging="360"/>
      </w:pPr>
      <w:r>
        <w:rPr>
          <w:rFonts w:ascii="Calibri" w:hAnsi="Calibri"/>
          <w:b/>
          <w:color w:val="525866"/>
          <w:sz w:val="22"/>
        </w:rPr>
        <w:t xml:space="preserve">Tariff impact largely mitigated via "producer we sell" philosophy: </w:t>
      </w:r>
      <w:r>
        <w:rPr>
          <w:rFonts w:ascii="Calibri" w:hAnsi="Calibri"/>
          <w:color w:val="525866"/>
          <w:sz w:val="22"/>
        </w:rPr>
        <w:t>ITW noted that its local manufacturing model largely mitigated direct tariff impacts, with any residual impact recovered through pricing. This is a positive read-through for MMM's tariff management, though MMM has more global supply chain complexity.</w:t>
      </w:r>
    </w:p>
    <w:p>
      <w:pPr>
        <w:pStyle w:val="ListBullet"/>
        <w:ind w:left="360" w:hanging="360"/>
      </w:pPr>
      <w:r>
        <w:rPr>
          <w:rFonts w:ascii="Calibri" w:hAnsi="Calibri"/>
          <w:b/>
          <w:color w:val="525866"/>
          <w:sz w:val="22"/>
        </w:rPr>
        <w:t xml:space="preserve">China auto builds projected to improve meaningfully in Q2, including double-digit EV growth: </w:t>
      </w:r>
      <w:r>
        <w:rPr>
          <w:rFonts w:ascii="Calibri" w:hAnsi="Calibri"/>
          <w:color w:val="525866"/>
          <w:sz w:val="22"/>
        </w:rPr>
        <w:t>ITW flagged meaningful sequential improvement in China auto builds in Q2, including double-digit EV growth. This is a modest positive read-through for MMM's auto-related products within T&amp;E, though MMM's auto exposure is more diversified.</w:t>
      </w:r>
    </w:p>
    <w:p>
      <w:pPr>
        <w:pStyle w:val="ListBullet"/>
        <w:ind w:left="360" w:hanging="360"/>
      </w:pPr>
      <w:r>
        <w:rPr>
          <w:rFonts w:ascii="Calibri" w:hAnsi="Calibri"/>
          <w:b/>
          <w:color w:val="525866"/>
          <w:sz w:val="22"/>
        </w:rPr>
        <w:t xml:space="preserve">Middle East aerospace backlog delayed but not lost: </w:t>
      </w:r>
      <w:r>
        <w:rPr>
          <w:rFonts w:ascii="Calibri" w:hAnsi="Calibri"/>
          <w:color w:val="525866"/>
          <w:sz w:val="22"/>
        </w:rPr>
        <w:t>ITW noted some Middle East-related aerospace sales delays within Specialty Products, but characterized the backlog as intact. This is consistent with Emerson's Middle East commentary and MMM's macro contingency.</w:t>
      </w:r>
    </w:p>
    <w:p>
      <w:pPr>
        <w:pStyle w:val="Heading3"/>
      </w:pPr>
      <w:r>
        <w:rPr>
          <w:rFonts w:ascii="Calibri" w:hAnsi="Calibri"/>
          <w:b/>
          <w:color w:val="3B4259"/>
          <w:sz w:val="24"/>
        </w:rPr>
        <w:t>Honeywell (HON) — Q1 2026 Earnings (April 23, 2026) &amp; Investor Day (June 2026)</w:t>
      </w:r>
    </w:p>
    <w:p>
      <w:r>
        <w:rPr>
          <w:rFonts w:ascii="Calibri" w:hAnsi="Calibri"/>
          <w:b/>
          <w:color w:val="525866"/>
          <w:sz w:val="22"/>
        </w:rPr>
        <w:t xml:space="preserve">Relevance to MMM: </w:t>
      </w:r>
      <w:r>
        <w:rPr>
          <w:rFonts w:ascii="Calibri" w:hAnsi="Calibri"/>
          <w:color w:val="525866"/>
          <w:sz w:val="22"/>
        </w:rPr>
        <w:t>Honeywell is a direct peer in Safety &amp; Industrial (PPE, safety products) and has overlapping exposure to aerospace, automation, and building technologies. HON held multiple investor events in June 2026 (Investor Day June 3, Guidance Update June 8, Investor Day June 11) that provide current-quarter color.</w:t>
      </w:r>
    </w:p>
    <w:p>
      <w:pPr>
        <w:pStyle w:val="ListBullet"/>
        <w:ind w:left="360" w:hanging="360"/>
      </w:pPr>
      <w:r>
        <w:rPr>
          <w:rFonts w:ascii="Calibri" w:hAnsi="Calibri"/>
          <w:b/>
          <w:color w:val="525866"/>
          <w:sz w:val="22"/>
        </w:rPr>
        <w:t xml:space="preserve">Q1 2026 results showed organic growth acceleration: </w:t>
      </w:r>
      <w:r>
        <w:rPr>
          <w:rFonts w:ascii="Calibri" w:hAnsi="Calibri"/>
          <w:color w:val="525866"/>
          <w:sz w:val="22"/>
        </w:rPr>
        <w:t>HON reported Q1 2026 results on April 23 with organic growth accelerating, driven by aerospace and building automation. Safety &amp; Productivity showed resilience. This is broadly consistent with MMM's Safety &amp; Industrial strength.</w:t>
      </w:r>
    </w:p>
    <w:p>
      <w:pPr>
        <w:pStyle w:val="ListBullet"/>
        <w:ind w:left="360" w:hanging="360"/>
      </w:pPr>
      <w:r>
        <w:rPr>
          <w:rFonts w:ascii="Calibri" w:hAnsi="Calibri"/>
          <w:b/>
          <w:color w:val="525866"/>
          <w:sz w:val="22"/>
        </w:rPr>
        <w:t xml:space="preserve">June Investor Day / Guidance Update — raised full-year outlook: </w:t>
      </w:r>
      <w:r>
        <w:rPr>
          <w:rFonts w:ascii="Calibri" w:hAnsi="Calibri"/>
          <w:color w:val="525866"/>
          <w:sz w:val="22"/>
        </w:rPr>
        <w:t>HON held a guidance update call on June 8 and Investor Days on June 3 and June 11, at which management raised its full-year 2026 outlook. The tone was constructive on industrial demand, automation investment, and aerospace. This is a positive read-through for MMM's Q2 setup, particularly for Safety &amp; Industrial and T&amp;E.</w:t>
      </w:r>
    </w:p>
    <w:p>
      <w:pPr>
        <w:pStyle w:val="ListBullet"/>
        <w:ind w:left="360" w:hanging="360"/>
      </w:pPr>
      <w:r>
        <w:rPr>
          <w:rFonts w:ascii="Calibri" w:hAnsi="Calibri"/>
          <w:b/>
          <w:color w:val="525866"/>
          <w:sz w:val="22"/>
        </w:rPr>
        <w:t xml:space="preserve">Automation and data center investment themes reinforced: </w:t>
      </w:r>
      <w:r>
        <w:rPr>
          <w:rFonts w:ascii="Calibri" w:hAnsi="Calibri"/>
          <w:color w:val="525866"/>
          <w:sz w:val="22"/>
        </w:rPr>
        <w:t>HON highlighted continued strong investment in automation and data center infrastructure at its Investor Day, consistent with MMM's EBO/data center opportunity and the broader industrial capex cycle.</w:t>
      </w:r>
    </w:p>
    <w:p>
      <w:pPr>
        <w:pStyle w:val="Heading3"/>
      </w:pPr>
      <w:r>
        <w:rPr>
          <w:rFonts w:ascii="Calibri" w:hAnsi="Calibri"/>
          <w:b/>
          <w:color w:val="3B4259"/>
          <w:sz w:val="24"/>
        </w:rPr>
        <w:t>Rockwell Automation (ROK) — Q2 2026 Earnings (May 5, 2026) &amp; Conference Appearances</w:t>
      </w:r>
    </w:p>
    <w:p>
      <w:r>
        <w:rPr>
          <w:rFonts w:ascii="Calibri" w:hAnsi="Calibri"/>
          <w:b/>
          <w:color w:val="525866"/>
          <w:sz w:val="22"/>
        </w:rPr>
        <w:t xml:space="preserve">Relevance to MMM: </w:t>
      </w:r>
      <w:r>
        <w:rPr>
          <w:rFonts w:ascii="Calibri" w:hAnsi="Calibri"/>
          <w:color w:val="525866"/>
          <w:sz w:val="22"/>
        </w:rPr>
        <w:t>Rockwell is a read-through for industrial automation, factory automation, and electronics end markets. ROK reported Q2 2026 (fiscal Q2) on May 5 and appeared at the Wells Fargo (June 11) and Baird (June 2) conferences.</w:t>
      </w:r>
    </w:p>
    <w:p>
      <w:pPr>
        <w:pStyle w:val="ListBullet"/>
        <w:ind w:left="360" w:hanging="360"/>
      </w:pPr>
      <w:r>
        <w:rPr>
          <w:rFonts w:ascii="Calibri" w:hAnsi="Calibri"/>
          <w:b/>
          <w:color w:val="525866"/>
          <w:sz w:val="22"/>
        </w:rPr>
        <w:t xml:space="preserve">Industrial automation demand recovering: </w:t>
      </w:r>
      <w:r>
        <w:rPr>
          <w:rFonts w:ascii="Calibri" w:hAnsi="Calibri"/>
          <w:color w:val="525866"/>
          <w:sz w:val="22"/>
        </w:rPr>
        <w:t>ROK's Q2 2026 results showed improving order trends in industrial automation, with management noting that the destocking cycle in discrete automation is largely complete. This is a positive read-through for MMM's Safety &amp; Industrial segment, which has exposure to factory automation and MRO.</w:t>
      </w:r>
    </w:p>
    <w:p>
      <w:pPr>
        <w:pStyle w:val="ListBullet"/>
        <w:ind w:left="360" w:hanging="360"/>
      </w:pPr>
      <w:r>
        <w:rPr>
          <w:rFonts w:ascii="Calibri" w:hAnsi="Calibri"/>
          <w:b/>
          <w:color w:val="525866"/>
          <w:sz w:val="22"/>
        </w:rPr>
        <w:t xml:space="preserve">Semiconductor and data center investment driving electronics demand: </w:t>
      </w:r>
      <w:r>
        <w:rPr>
          <w:rFonts w:ascii="Calibri" w:hAnsi="Calibri"/>
          <w:color w:val="525866"/>
          <w:sz w:val="22"/>
        </w:rPr>
        <w:t>ROK highlighted semiconductor fab investment and data center buildout as key demand drivers at the Wells Fargo conference (June 11), consistent with MMM's EBO/semiconductor growth narrative within T&amp;E.</w:t>
      </w:r>
    </w:p>
    <w:p>
      <w:pPr>
        <w:pStyle w:val="ListBullet"/>
        <w:ind w:left="360" w:hanging="360"/>
      </w:pPr>
      <w:r>
        <w:rPr>
          <w:rFonts w:ascii="Calibri" w:hAnsi="Calibri"/>
          <w:b/>
          <w:color w:val="525866"/>
          <w:sz w:val="22"/>
        </w:rPr>
        <w:t xml:space="preserve">North America industrial activity solid; Europe mixed: </w:t>
      </w:r>
      <w:r>
        <w:rPr>
          <w:rFonts w:ascii="Calibri" w:hAnsi="Calibri"/>
          <w:color w:val="525866"/>
          <w:sz w:val="22"/>
        </w:rPr>
        <w:t>ROK described North America industrial activity as solid, with Europe more mixed. This is consistent with Emerson's commentary and MMM's geographic exposure.</w:t>
      </w:r>
    </w:p>
    <w:p>
      <w:pPr>
        <w:pStyle w:val="Heading3"/>
      </w:pPr>
      <w:r>
        <w:rPr>
          <w:rFonts w:ascii="Calibri" w:hAnsi="Calibri"/>
          <w:b/>
          <w:color w:val="3B4259"/>
          <w:sz w:val="24"/>
        </w:rPr>
        <w:t>Eaton (ETN) — Q1 2026 Earnings (May 5, 2026)</w:t>
      </w:r>
    </w:p>
    <w:p>
      <w:r>
        <w:rPr>
          <w:rFonts w:ascii="Calibri" w:hAnsi="Calibri"/>
          <w:b/>
          <w:color w:val="525866"/>
          <w:sz w:val="22"/>
        </w:rPr>
        <w:t xml:space="preserve">Relevance to MMM: </w:t>
      </w:r>
      <w:r>
        <w:rPr>
          <w:rFonts w:ascii="Calibri" w:hAnsi="Calibri"/>
          <w:color w:val="525866"/>
          <w:sz w:val="22"/>
        </w:rPr>
        <w:t>Eaton is a read-through for electrical products, data center power, and industrial end markets. ETN's Q1 2026 results (reported May 5) cover the April quarter and provide forward color on Q2 2026 conditions.</w:t>
      </w:r>
    </w:p>
    <w:p>
      <w:pPr>
        <w:pStyle w:val="ListBullet"/>
        <w:ind w:left="360" w:hanging="360"/>
      </w:pPr>
      <w:r>
        <w:rPr>
          <w:rFonts w:ascii="Calibri" w:hAnsi="Calibri"/>
          <w:b/>
          <w:color w:val="525866"/>
          <w:sz w:val="22"/>
        </w:rPr>
        <w:t xml:space="preserve">Data center / power infrastructure demand remains exceptional: </w:t>
      </w:r>
      <w:r>
        <w:rPr>
          <w:rFonts w:ascii="Calibri" w:hAnsi="Calibri"/>
          <w:color w:val="525866"/>
          <w:sz w:val="22"/>
        </w:rPr>
        <w:t>ETN reported continued exceptional demand for data center power infrastructure, with orders and backlog at record levels. This is a strong positive read-through for MMM's EBO/data center opportunity within T&amp;E, as hyperscaler investment shows no signs of slowing.</w:t>
      </w:r>
    </w:p>
    <w:p>
      <w:pPr>
        <w:pStyle w:val="ListBullet"/>
        <w:ind w:left="360" w:hanging="360"/>
      </w:pPr>
      <w:r>
        <w:rPr>
          <w:rFonts w:ascii="Calibri" w:hAnsi="Calibri"/>
          <w:b/>
          <w:color w:val="525866"/>
          <w:sz w:val="22"/>
        </w:rPr>
        <w:t xml:space="preserve">Electrical products pricing power intact: </w:t>
      </w:r>
      <w:r>
        <w:rPr>
          <w:rFonts w:ascii="Calibri" w:hAnsi="Calibri"/>
          <w:color w:val="525866"/>
          <w:sz w:val="22"/>
        </w:rPr>
        <w:t>ETN noted strong pricing power in electrical products, consistent with MMM's oil-driven cost pass-through pricing strategy and the broader industrial pricing environment.</w:t>
      </w:r>
    </w:p>
    <w:p>
      <w:pPr>
        <w:pStyle w:val="ListBullet"/>
        <w:ind w:left="360" w:hanging="360"/>
      </w:pPr>
      <w:r>
        <w:rPr>
          <w:rFonts w:ascii="Calibri" w:hAnsi="Calibri"/>
          <w:b/>
          <w:color w:val="525866"/>
          <w:sz w:val="22"/>
        </w:rPr>
        <w:t xml:space="preserve">Industrial markets broadly healthy; aerospace/defense strong: </w:t>
      </w:r>
      <w:r>
        <w:rPr>
          <w:rFonts w:ascii="Calibri" w:hAnsi="Calibri"/>
          <w:color w:val="525866"/>
          <w:sz w:val="22"/>
        </w:rPr>
        <w:t>ETN described industrial markets as broadly healthy with aerospace/defense particularly strong, consistent with MMM's Safety &amp; Industrial and T&amp;E segment commentary.</w:t>
      </w:r>
    </w:p>
    <w:p>
      <w:pPr>
        <w:pStyle w:val="Heading3"/>
      </w:pPr>
      <w:r>
        <w:rPr>
          <w:rFonts w:ascii="Calibri" w:hAnsi="Calibri"/>
          <w:b/>
          <w:color w:val="3B4259"/>
          <w:sz w:val="24"/>
        </w:rPr>
        <w:t>Parker Hannifin (PH) — Q3 FY2026 Earnings (April 30, 2026)</w:t>
      </w:r>
    </w:p>
    <w:p>
      <w:r>
        <w:rPr>
          <w:rFonts w:ascii="Calibri" w:hAnsi="Calibri"/>
          <w:b/>
          <w:color w:val="525866"/>
          <w:sz w:val="22"/>
        </w:rPr>
        <w:t xml:space="preserve">Relevance to MMM: </w:t>
      </w:r>
      <w:r>
        <w:rPr>
          <w:rFonts w:ascii="Calibri" w:hAnsi="Calibri"/>
          <w:color w:val="525866"/>
          <w:sz w:val="22"/>
        </w:rPr>
        <w:t>Parker Hannifin is a read-through for motion and control technologies, aerospace, and industrial end markets. PH's Q3 FY2026 results (calendar Q1 2026, reported April 30) provide color on industrial demand heading into the summer.</w:t>
      </w:r>
    </w:p>
    <w:p>
      <w:pPr>
        <w:pStyle w:val="ListBullet"/>
        <w:ind w:left="360" w:hanging="360"/>
      </w:pPr>
      <w:r>
        <w:rPr>
          <w:rFonts w:ascii="Calibri" w:hAnsi="Calibri"/>
          <w:b/>
          <w:color w:val="525866"/>
          <w:sz w:val="22"/>
        </w:rPr>
        <w:t xml:space="preserve">Aerospace segment remains the standout performer: </w:t>
      </w:r>
      <w:r>
        <w:rPr>
          <w:rFonts w:ascii="Calibri" w:hAnsi="Calibri"/>
          <w:color w:val="525866"/>
          <w:sz w:val="22"/>
        </w:rPr>
        <w:t>PH reported continued strong aerospace demand, with both commercial and defense aerospace showing healthy order activity. This is a positive read-through for MMM's aerospace-related products within T&amp;E and Safety &amp; Industrial.</w:t>
      </w:r>
    </w:p>
    <w:p>
      <w:pPr>
        <w:pStyle w:val="ListBullet"/>
        <w:ind w:left="360" w:hanging="360"/>
      </w:pPr>
      <w:r>
        <w:rPr>
          <w:rFonts w:ascii="Calibri" w:hAnsi="Calibri"/>
          <w:b/>
          <w:color w:val="525866"/>
          <w:sz w:val="22"/>
        </w:rPr>
        <w:t xml:space="preserve">Industrial North America showing sequential improvement: </w:t>
      </w:r>
      <w:r>
        <w:rPr>
          <w:rFonts w:ascii="Calibri" w:hAnsi="Calibri"/>
          <w:color w:val="525866"/>
          <w:sz w:val="22"/>
        </w:rPr>
        <w:t>PH noted sequential improvement in North American industrial demand, consistent with MMM's Safety &amp; Industrial order momentum and the broader industrial recovery narrative.</w:t>
      </w:r>
    </w:p>
    <w:p>
      <w:pPr>
        <w:pStyle w:val="ListBullet"/>
        <w:ind w:left="360" w:hanging="360"/>
      </w:pPr>
      <w:r>
        <w:rPr>
          <w:rFonts w:ascii="Calibri" w:hAnsi="Calibri"/>
          <w:b/>
          <w:color w:val="525866"/>
          <w:sz w:val="22"/>
        </w:rPr>
        <w:t xml:space="preserve">Margin expansion on track: </w:t>
      </w:r>
      <w:r>
        <w:rPr>
          <w:rFonts w:ascii="Calibri" w:hAnsi="Calibri"/>
          <w:color w:val="525866"/>
          <w:sz w:val="22"/>
        </w:rPr>
        <w:t>PH continued to demonstrate strong margin execution, consistent with the broader industrial sector's productivity-driven margin expansion trend and supportive of MMM's ~24.5% Q2 margin guidance.</w:t>
      </w:r>
    </w:p>
    <w:p>
      <w:pPr>
        <w:pStyle w:val="Heading3"/>
      </w:pPr>
      <w:r>
        <w:rPr>
          <w:rFonts w:ascii="Calibri" w:hAnsi="Calibri"/>
          <w:b/>
          <w:color w:val="3B4259"/>
          <w:sz w:val="24"/>
        </w:rPr>
        <w:t>Peer Read-Through Summary Table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Event / Date</w:t>
            </w:r>
          </w:p>
        </w:tc>
        <w:tc>
          <w:tcPr>
            <w:tcW w:type="dxa" w:w="1728"/>
            <w:shd w:val="clear" w:color="auto" w:fill="3B4259"/>
          </w:tcPr>
          <w:p>
            <w:r>
              <w:rPr>
                <w:rFonts w:ascii="Calibri" w:hAnsi="Calibri"/>
                <w:b/>
                <w:color w:val="FFFFFF"/>
                <w:sz w:val="22"/>
              </w:rPr>
              <w:t>Key Q2 2026 Signal</w:t>
            </w:r>
          </w:p>
        </w:tc>
        <w:tc>
          <w:tcPr>
            <w:tcW w:type="dxa" w:w="1728"/>
            <w:shd w:val="clear" w:color="auto" w:fill="3B4259"/>
          </w:tcPr>
          <w:p>
            <w:r>
              <w:rPr>
                <w:rFonts w:ascii="Calibri" w:hAnsi="Calibri"/>
                <w:b/>
                <w:color w:val="FFFFFF"/>
                <w:sz w:val="22"/>
              </w:rPr>
              <w:t>MMM Read-Through</w:t>
            </w:r>
          </w:p>
        </w:tc>
        <w:tc>
          <w:tcPr>
            <w:tcW w:type="dxa" w:w="1728"/>
            <w:shd w:val="clear" w:color="auto" w:fill="3B4259"/>
          </w:tcPr>
          <w:p>
            <w:r>
              <w:rPr>
                <w:rFonts w:ascii="Calibri" w:hAnsi="Calibri"/>
                <w:b/>
                <w:color w:val="FFFFFF"/>
                <w:sz w:val="22"/>
              </w:rPr>
              <w:t>Direction</w:t>
            </w:r>
          </w:p>
        </w:tc>
      </w:tr>
      <w:tr>
        <w:tc>
          <w:tcPr>
            <w:tcW w:type="dxa" w:w="1728"/>
          </w:tcPr>
          <w:p>
            <w:r>
              <w:rPr>
                <w:rFonts w:ascii="Calibri" w:hAnsi="Calibri"/>
                <w:sz w:val="22"/>
              </w:rPr>
              <w:t>GE Aerospace</w:t>
            </w:r>
          </w:p>
        </w:tc>
        <w:tc>
          <w:tcPr>
            <w:tcW w:type="dxa" w:w="1728"/>
          </w:tcPr>
          <w:p>
            <w:r>
              <w:rPr>
                <w:rFonts w:ascii="Calibri" w:hAnsi="Calibri"/>
                <w:sz w:val="22"/>
              </w:rPr>
              <w:t>Q2 2026 Earnings, Jul 16</w:t>
            </w:r>
          </w:p>
        </w:tc>
        <w:tc>
          <w:tcPr>
            <w:tcW w:type="dxa" w:w="1728"/>
          </w:tcPr>
          <w:p>
            <w:r>
              <w:rPr>
                <w:rFonts w:ascii="Calibri" w:hAnsi="Calibri"/>
                <w:sz w:val="22"/>
              </w:rPr>
              <w:t>Robust aerospace/defense demand; supply chain normalizing</w:t>
            </w:r>
          </w:p>
        </w:tc>
        <w:tc>
          <w:tcPr>
            <w:tcW w:type="dxa" w:w="1728"/>
          </w:tcPr>
          <w:p>
            <w:r>
              <w:rPr>
                <w:rFonts w:ascii="Calibri" w:hAnsi="Calibri"/>
                <w:sz w:val="22"/>
              </w:rPr>
              <w:t>Positive for T&amp;E aerospace products and backlog conversion</w:t>
            </w:r>
          </w:p>
        </w:tc>
        <w:tc>
          <w:tcPr>
            <w:tcW w:type="dxa" w:w="1728"/>
          </w:tcPr>
          <w:p>
            <w:r>
              <w:rPr>
                <w:rFonts w:ascii="Calibri" w:hAnsi="Calibri"/>
                <w:b/>
                <w:color w:val="30A46C"/>
                <w:sz w:val="22"/>
              </w:rPr>
              <w:t>Positive ↑</w:t>
            </w:r>
          </w:p>
        </w:tc>
      </w:tr>
      <w:tr>
        <w:tc>
          <w:tcPr>
            <w:tcW w:type="dxa" w:w="1728"/>
          </w:tcPr>
          <w:p>
            <w:r>
              <w:rPr>
                <w:rFonts w:ascii="Calibri" w:hAnsi="Calibri"/>
                <w:sz w:val="22"/>
              </w:rPr>
              <w:t>Emerson (EMR)</w:t>
            </w:r>
          </w:p>
        </w:tc>
        <w:tc>
          <w:tcPr>
            <w:tcW w:type="dxa" w:w="1728"/>
          </w:tcPr>
          <w:p>
            <w:r>
              <w:rPr>
                <w:rFonts w:ascii="Calibri" w:hAnsi="Calibri"/>
                <w:sz w:val="22"/>
              </w:rPr>
              <w:t>Q2 2026 Earnings, May 5</w:t>
            </w:r>
          </w:p>
        </w:tc>
        <w:tc>
          <w:tcPr>
            <w:tcW w:type="dxa" w:w="1728"/>
          </w:tcPr>
          <w:p>
            <w:r>
              <w:rPr>
                <w:rFonts w:ascii="Calibri" w:hAnsi="Calibri"/>
                <w:sz w:val="22"/>
              </w:rPr>
              <w:t>Orders +5%; growth verticals +22%; semis/power leading; Middle East -1pt headwind; auto at bottom</w:t>
            </w:r>
          </w:p>
        </w:tc>
        <w:tc>
          <w:tcPr>
            <w:tcW w:type="dxa" w:w="1728"/>
          </w:tcPr>
          <w:p>
            <w:r>
              <w:rPr>
                <w:rFonts w:ascii="Calibri" w:hAnsi="Calibri"/>
                <w:sz w:val="22"/>
              </w:rPr>
              <w:t>Positive for T&amp;E semis/EBO; Middle East headwind manageable; auto bottoming</w:t>
            </w:r>
          </w:p>
        </w:tc>
        <w:tc>
          <w:tcPr>
            <w:tcW w:type="dxa" w:w="1728"/>
          </w:tcPr>
          <w:p>
            <w:r>
              <w:rPr>
                <w:rFonts w:ascii="Calibri" w:hAnsi="Calibri"/>
                <w:b/>
                <w:color w:val="30A46C"/>
                <w:sz w:val="22"/>
              </w:rPr>
              <w:t>Mostly positive ↑</w:t>
            </w:r>
          </w:p>
        </w:tc>
      </w:tr>
      <w:tr>
        <w:tc>
          <w:tcPr>
            <w:tcW w:type="dxa" w:w="1728"/>
          </w:tcPr>
          <w:p>
            <w:r>
              <w:rPr>
                <w:rFonts w:ascii="Calibri" w:hAnsi="Calibri"/>
                <w:sz w:val="22"/>
              </w:rPr>
              <w:t>ITW</w:t>
            </w:r>
          </w:p>
        </w:tc>
        <w:tc>
          <w:tcPr>
            <w:tcW w:type="dxa" w:w="1728"/>
          </w:tcPr>
          <w:p>
            <w:r>
              <w:rPr>
                <w:rFonts w:ascii="Calibri" w:hAnsi="Calibri"/>
                <w:sz w:val="22"/>
              </w:rPr>
              <w:t>Q1 2026 Earnings, Apr 30</w:t>
            </w:r>
          </w:p>
        </w:tc>
        <w:tc>
          <w:tcPr>
            <w:tcW w:type="dxa" w:w="1728"/>
          </w:tcPr>
          <w:p>
            <w:r>
              <w:rPr>
                <w:rFonts w:ascii="Calibri" w:hAnsi="Calibri"/>
                <w:sz w:val="22"/>
              </w:rPr>
              <w:t>Q2 trending to high end of guidance; CapEx/industrial "very strong"; electronics/semis up 10%+; tariffs mitigated</w:t>
            </w:r>
          </w:p>
        </w:tc>
        <w:tc>
          <w:tcPr>
            <w:tcW w:type="dxa" w:w="1728"/>
          </w:tcPr>
          <w:p>
            <w:r>
              <w:rPr>
                <w:rFonts w:ascii="Calibri" w:hAnsi="Calibri"/>
                <w:sz w:val="22"/>
              </w:rPr>
              <w:t>Strong positive for Safety &amp; Industrial and T&amp;E; margin expansion trend intact</w:t>
            </w:r>
          </w:p>
        </w:tc>
        <w:tc>
          <w:tcPr>
            <w:tcW w:type="dxa" w:w="1728"/>
          </w:tcPr>
          <w:p>
            <w:r>
              <w:rPr>
                <w:rFonts w:ascii="Calibri" w:hAnsi="Calibri"/>
                <w:b/>
                <w:color w:val="30A46C"/>
                <w:sz w:val="22"/>
              </w:rPr>
              <w:t>Positive ↑</w:t>
            </w:r>
          </w:p>
        </w:tc>
      </w:tr>
      <w:tr>
        <w:tc>
          <w:tcPr>
            <w:tcW w:type="dxa" w:w="1728"/>
          </w:tcPr>
          <w:p>
            <w:r>
              <w:rPr>
                <w:rFonts w:ascii="Calibri" w:hAnsi="Calibri"/>
                <w:sz w:val="22"/>
              </w:rPr>
              <w:t>Honeywell (HON)</w:t>
            </w:r>
          </w:p>
        </w:tc>
        <w:tc>
          <w:tcPr>
            <w:tcW w:type="dxa" w:w="1728"/>
          </w:tcPr>
          <w:p>
            <w:r>
              <w:rPr>
                <w:rFonts w:ascii="Calibri" w:hAnsi="Calibri"/>
                <w:sz w:val="22"/>
              </w:rPr>
              <w:t>Q1 Earnings Apr 23; Investor Days Jun 3/8/11</w:t>
            </w:r>
          </w:p>
        </w:tc>
        <w:tc>
          <w:tcPr>
            <w:tcW w:type="dxa" w:w="1728"/>
          </w:tcPr>
          <w:p>
            <w:r>
              <w:rPr>
                <w:rFonts w:ascii="Calibri" w:hAnsi="Calibri"/>
                <w:sz w:val="22"/>
              </w:rPr>
              <w:t>Raised FY outlook; automation/data center investment strong; aerospace healthy</w:t>
            </w:r>
          </w:p>
        </w:tc>
        <w:tc>
          <w:tcPr>
            <w:tcW w:type="dxa" w:w="1728"/>
          </w:tcPr>
          <w:p>
            <w:r>
              <w:rPr>
                <w:rFonts w:ascii="Calibri" w:hAnsi="Calibri"/>
                <w:sz w:val="22"/>
              </w:rPr>
              <w:t>Positive for Safety &amp; Industrial and T&amp;E; data center capex cycle intact</w:t>
            </w:r>
          </w:p>
        </w:tc>
        <w:tc>
          <w:tcPr>
            <w:tcW w:type="dxa" w:w="1728"/>
          </w:tcPr>
          <w:p>
            <w:r>
              <w:rPr>
                <w:rFonts w:ascii="Calibri" w:hAnsi="Calibri"/>
                <w:b/>
                <w:color w:val="30A46C"/>
                <w:sz w:val="22"/>
              </w:rPr>
              <w:t>Positive ↑</w:t>
            </w:r>
          </w:p>
        </w:tc>
      </w:tr>
      <w:tr>
        <w:tc>
          <w:tcPr>
            <w:tcW w:type="dxa" w:w="1728"/>
          </w:tcPr>
          <w:p>
            <w:r>
              <w:rPr>
                <w:rFonts w:ascii="Calibri" w:hAnsi="Calibri"/>
                <w:sz w:val="22"/>
              </w:rPr>
              <w:t>Rockwell (ROK)</w:t>
            </w:r>
          </w:p>
        </w:tc>
        <w:tc>
          <w:tcPr>
            <w:tcW w:type="dxa" w:w="1728"/>
          </w:tcPr>
          <w:p>
            <w:r>
              <w:rPr>
                <w:rFonts w:ascii="Calibri" w:hAnsi="Calibri"/>
                <w:sz w:val="22"/>
              </w:rPr>
              <w:t>Q2 Earnings May 5; WFC Jun 11; Baird Jun 2</w:t>
            </w:r>
          </w:p>
        </w:tc>
        <w:tc>
          <w:tcPr>
            <w:tcW w:type="dxa" w:w="1728"/>
          </w:tcPr>
          <w:p>
            <w:r>
              <w:rPr>
                <w:rFonts w:ascii="Calibri" w:hAnsi="Calibri"/>
                <w:sz w:val="22"/>
              </w:rPr>
              <w:t>Automation destocking complete; semis/data center driving electronics; NA solid, Europe mixed</w:t>
            </w:r>
          </w:p>
        </w:tc>
        <w:tc>
          <w:tcPr>
            <w:tcW w:type="dxa" w:w="1728"/>
          </w:tcPr>
          <w:p>
            <w:r>
              <w:rPr>
                <w:rFonts w:ascii="Calibri" w:hAnsi="Calibri"/>
                <w:sz w:val="22"/>
              </w:rPr>
              <w:t>Positive for T&amp;E semis/EBO; Europe a modest watch item</w:t>
            </w:r>
          </w:p>
        </w:tc>
        <w:tc>
          <w:tcPr>
            <w:tcW w:type="dxa" w:w="1728"/>
          </w:tcPr>
          <w:p>
            <w:r>
              <w:rPr>
                <w:rFonts w:ascii="Calibri" w:hAnsi="Calibri"/>
                <w:b/>
                <w:color w:val="30A46C"/>
                <w:sz w:val="22"/>
              </w:rPr>
              <w:t>Mostly positive ↑</w:t>
            </w:r>
          </w:p>
        </w:tc>
      </w:tr>
      <w:tr>
        <w:tc>
          <w:tcPr>
            <w:tcW w:type="dxa" w:w="1728"/>
          </w:tcPr>
          <w:p>
            <w:r>
              <w:rPr>
                <w:rFonts w:ascii="Calibri" w:hAnsi="Calibri"/>
                <w:sz w:val="22"/>
              </w:rPr>
              <w:t>Eaton (ETN)</w:t>
            </w:r>
          </w:p>
        </w:tc>
        <w:tc>
          <w:tcPr>
            <w:tcW w:type="dxa" w:w="1728"/>
          </w:tcPr>
          <w:p>
            <w:r>
              <w:rPr>
                <w:rFonts w:ascii="Calibri" w:hAnsi="Calibri"/>
                <w:sz w:val="22"/>
              </w:rPr>
              <w:t>Q1 2026 Earnings, May 5</w:t>
            </w:r>
          </w:p>
        </w:tc>
        <w:tc>
          <w:tcPr>
            <w:tcW w:type="dxa" w:w="1728"/>
          </w:tcPr>
          <w:p>
            <w:r>
              <w:rPr>
                <w:rFonts w:ascii="Calibri" w:hAnsi="Calibri"/>
                <w:sz w:val="22"/>
              </w:rPr>
              <w:t>Data center power demand exceptional; electrical pricing intact; industrial/aerospace healthy</w:t>
            </w:r>
          </w:p>
        </w:tc>
        <w:tc>
          <w:tcPr>
            <w:tcW w:type="dxa" w:w="1728"/>
          </w:tcPr>
          <w:p>
            <w:r>
              <w:rPr>
                <w:rFonts w:ascii="Calibri" w:hAnsi="Calibri"/>
                <w:sz w:val="22"/>
              </w:rPr>
              <w:t>Strong positive for EBO/data center; pricing environment supportive</w:t>
            </w:r>
          </w:p>
        </w:tc>
        <w:tc>
          <w:tcPr>
            <w:tcW w:type="dxa" w:w="1728"/>
          </w:tcPr>
          <w:p>
            <w:r>
              <w:rPr>
                <w:rFonts w:ascii="Calibri" w:hAnsi="Calibri"/>
                <w:b/>
                <w:color w:val="30A46C"/>
                <w:sz w:val="22"/>
              </w:rPr>
              <w:t>Positive ↑</w:t>
            </w:r>
          </w:p>
        </w:tc>
      </w:tr>
      <w:tr>
        <w:tc>
          <w:tcPr>
            <w:tcW w:type="dxa" w:w="1728"/>
          </w:tcPr>
          <w:p>
            <w:r>
              <w:rPr>
                <w:rFonts w:ascii="Calibri" w:hAnsi="Calibri"/>
                <w:sz w:val="22"/>
              </w:rPr>
              <w:t>Parker Hannifin (PH)</w:t>
            </w:r>
          </w:p>
        </w:tc>
        <w:tc>
          <w:tcPr>
            <w:tcW w:type="dxa" w:w="1728"/>
          </w:tcPr>
          <w:p>
            <w:r>
              <w:rPr>
                <w:rFonts w:ascii="Calibri" w:hAnsi="Calibri"/>
                <w:sz w:val="22"/>
              </w:rPr>
              <w:t>Q3 FY2026 Earnings, Apr 30</w:t>
            </w:r>
          </w:p>
        </w:tc>
        <w:tc>
          <w:tcPr>
            <w:tcW w:type="dxa" w:w="1728"/>
          </w:tcPr>
          <w:p>
            <w:r>
              <w:rPr>
                <w:rFonts w:ascii="Calibri" w:hAnsi="Calibri"/>
                <w:sz w:val="22"/>
              </w:rPr>
              <w:t>Aerospace standout; NA industrial improving sequentially; margin expansion on track</w:t>
            </w:r>
          </w:p>
        </w:tc>
        <w:tc>
          <w:tcPr>
            <w:tcW w:type="dxa" w:w="1728"/>
          </w:tcPr>
          <w:p>
            <w:r>
              <w:rPr>
                <w:rFonts w:ascii="Calibri" w:hAnsi="Calibri"/>
                <w:sz w:val="22"/>
              </w:rPr>
              <w:t>Positive for T&amp;E aerospace and Safety &amp; Industrial; margin trend supportive</w:t>
            </w:r>
          </w:p>
        </w:tc>
        <w:tc>
          <w:tcPr>
            <w:tcW w:type="dxa" w:w="1728"/>
          </w:tcPr>
          <w:p>
            <w:r>
              <w:rPr>
                <w:rFonts w:ascii="Calibri" w:hAnsi="Calibri"/>
                <w:b/>
                <w:color w:val="30A46C"/>
                <w:sz w:val="22"/>
              </w:rPr>
              <w:t>Positive ↑</w:t>
            </w:r>
          </w:p>
        </w:tc>
      </w:tr>
    </w:tbl>
    <w:p>
      <w:r>
        <w:rPr>
          <w:rFonts w:ascii="Calibri" w:hAnsi="Calibri"/>
          <w:i/>
          <w:color w:val="525866"/>
          <w:sz w:val="22"/>
        </w:rPr>
        <w:t>Sources: EMR Q2 2026 Earnings Call Transcript (May 5, 2026); ITW Q1 2026 Earnings Call Transcript (April 30, 2026); HON Q1 2026 Earnings Call Transcript (April 23, 2026); HON Investor Day Transcripts (June 3, 8, 11, 2026); ROK Q2 2026 Earnings Call Transcript (May 5, 2026); ROK Wells Fargo Conference (June 11, 2026); GE Q2 2026 Earnings Call Transcript (July 16, 2026); ETN Q1 2026 Earnings Call Transcript (May 5, 2026); PH Q3 FY2026 Earnings Call Transcript (April 30, 2026).</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All insider transactions since Q1 earnings are routine — RSU vesting/tax withholding events and standard director equity grants. There are no open-market purchases or discretionary sales by senior executives, which is neither a positive nor negative signal heading into Q2 earnings.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Date</w:t>
            </w:r>
          </w:p>
        </w:tc>
        <w:tc>
          <w:tcPr>
            <w:tcW w:type="dxa" w:w="1234"/>
            <w:shd w:val="clear" w:color="auto" w:fill="3B4259"/>
          </w:tcPr>
          <w:p>
            <w:r>
              <w:rPr>
                <w:rFonts w:ascii="Calibri" w:hAnsi="Calibri"/>
                <w:b/>
                <w:color w:val="FFFFFF"/>
                <w:sz w:val="22"/>
              </w:rPr>
              <w:t>Insider</w:t>
            </w:r>
          </w:p>
        </w:tc>
        <w:tc>
          <w:tcPr>
            <w:tcW w:type="dxa" w:w="1234"/>
            <w:shd w:val="clear" w:color="auto" w:fill="3B4259"/>
          </w:tcPr>
          <w:p>
            <w:r>
              <w:rPr>
                <w:rFonts w:ascii="Calibri" w:hAnsi="Calibri"/>
                <w:b/>
                <w:color w:val="FFFFFF"/>
                <w:sz w:val="22"/>
              </w:rPr>
              <w:t>Role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Security</w:t>
            </w:r>
          </w:p>
        </w:tc>
        <w:tc>
          <w:tcPr>
            <w:tcW w:type="dxa" w:w="1234"/>
            <w:shd w:val="clear" w:color="auto" w:fill="3B4259"/>
          </w:tcPr>
          <w:p>
            <w:r>
              <w:rPr>
                <w:rFonts w:ascii="Calibri" w:hAnsi="Calibri"/>
                <w:b/>
                <w:color w:val="FFFFFF"/>
                <w:sz w:val="22"/>
              </w:rPr>
              <w:t>Nature</w:t>
            </w:r>
          </w:p>
        </w:tc>
      </w:tr>
      <w:tr>
        <w:tc>
          <w:tcPr>
            <w:tcW w:type="dxa" w:w="1234"/>
          </w:tcPr>
          <w:p>
            <w:r>
              <w:rPr>
                <w:rFonts w:ascii="Calibri" w:hAnsi="Calibri"/>
                <w:sz w:val="22"/>
              </w:rPr>
              <w:t>Jul 1, 2026</w:t>
            </w:r>
          </w:p>
        </w:tc>
        <w:tc>
          <w:tcPr>
            <w:tcW w:type="dxa" w:w="1234"/>
          </w:tcPr>
          <w:p>
            <w:r>
              <w:rPr>
                <w:rFonts w:ascii="Calibri" w:hAnsi="Calibri"/>
                <w:sz w:val="22"/>
              </w:rPr>
              <w:t>Bauer, Wendy A.</w:t>
            </w:r>
          </w:p>
        </w:tc>
        <w:tc>
          <w:tcPr>
            <w:tcW w:type="dxa" w:w="1234"/>
          </w:tcPr>
          <w:p>
            <w:r>
              <w:rPr>
                <w:rFonts w:ascii="Calibri" w:hAnsi="Calibri"/>
                <w:sz w:val="22"/>
              </w:rPr>
              <w:t>Group President</w:t>
            </w:r>
          </w:p>
        </w:tc>
        <w:tc>
          <w:tcPr>
            <w:tcW w:type="dxa" w:w="1234"/>
          </w:tcPr>
          <w:p>
            <w:r>
              <w:rPr>
                <w:rFonts w:ascii="Calibri" w:hAnsi="Calibri"/>
                <w:sz w:val="22"/>
              </w:rPr>
              <w:t>RSU Vest (M) / Tax Withhold (F)</w:t>
            </w:r>
          </w:p>
        </w:tc>
        <w:tc>
          <w:tcPr>
            <w:tcW w:type="dxa" w:w="1234"/>
          </w:tcPr>
          <w:p>
            <w:r>
              <w:rPr>
                <w:rFonts w:ascii="Calibri" w:hAnsi="Calibri"/>
                <w:sz w:val="22"/>
              </w:rPr>
              <w:t>7,952 vested; 3,558 withheld</w:t>
            </w:r>
          </w:p>
        </w:tc>
        <w:tc>
          <w:tcPr>
            <w:tcW w:type="dxa" w:w="1234"/>
          </w:tcPr>
          <w:p>
            <w:r>
              <w:rPr>
                <w:rFonts w:ascii="Calibri" w:hAnsi="Calibri"/>
                <w:sz w:val="22"/>
              </w:rPr>
              <w:t>Common Stock</w:t>
            </w:r>
          </w:p>
        </w:tc>
        <w:tc>
          <w:tcPr>
            <w:tcW w:type="dxa" w:w="1234"/>
          </w:tcPr>
          <w:p>
            <w:r>
              <w:rPr>
                <w:rFonts w:ascii="Calibri" w:hAnsi="Calibri"/>
                <w:sz w:val="22"/>
              </w:rPr>
              <w:t>Routine RSU vesting</w:t>
            </w:r>
          </w:p>
        </w:tc>
      </w:tr>
      <w:tr>
        <w:tc>
          <w:tcPr>
            <w:tcW w:type="dxa" w:w="1234"/>
          </w:tcPr>
          <w:p>
            <w:r>
              <w:rPr>
                <w:rFonts w:ascii="Calibri" w:hAnsi="Calibri"/>
                <w:sz w:val="22"/>
              </w:rPr>
              <w:t>Jun 5, 2026</w:t>
            </w:r>
          </w:p>
        </w:tc>
        <w:tc>
          <w:tcPr>
            <w:tcW w:type="dxa" w:w="1234"/>
          </w:tcPr>
          <w:p>
            <w:r>
              <w:rPr>
                <w:rFonts w:ascii="Calibri" w:hAnsi="Calibri"/>
                <w:sz w:val="22"/>
              </w:rPr>
              <w:t>Rumsey, Jennifer</w:t>
            </w:r>
          </w:p>
        </w:tc>
        <w:tc>
          <w:tcPr>
            <w:tcW w:type="dxa" w:w="1234"/>
          </w:tcPr>
          <w:p>
            <w:r>
              <w:rPr>
                <w:rFonts w:ascii="Calibri" w:hAnsi="Calibri"/>
                <w:sz w:val="22"/>
              </w:rPr>
              <w:t>Director</w:t>
            </w:r>
          </w:p>
        </w:tc>
        <w:tc>
          <w:tcPr>
            <w:tcW w:type="dxa" w:w="1234"/>
          </w:tcPr>
          <w:p>
            <w:r>
              <w:rPr>
                <w:rFonts w:ascii="Calibri" w:hAnsi="Calibri"/>
                <w:sz w:val="22"/>
              </w:rPr>
              <w:t>Director Equity Grant (A)</w:t>
            </w:r>
          </w:p>
        </w:tc>
        <w:tc>
          <w:tcPr>
            <w:tcW w:type="dxa" w:w="1234"/>
          </w:tcPr>
          <w:p>
            <w:r>
              <w:rPr>
                <w:rFonts w:ascii="Calibri" w:hAnsi="Calibri"/>
                <w:sz w:val="22"/>
              </w:rPr>
              <w:t>1,196</w:t>
            </w:r>
          </w:p>
        </w:tc>
        <w:tc>
          <w:tcPr>
            <w:tcW w:type="dxa" w:w="1234"/>
          </w:tcPr>
          <w:p>
            <w:r>
              <w:rPr>
                <w:rFonts w:ascii="Calibri" w:hAnsi="Calibri"/>
                <w:sz w:val="22"/>
              </w:rPr>
              <w:t>Common Stock</w:t>
            </w:r>
          </w:p>
        </w:tc>
        <w:tc>
          <w:tcPr>
            <w:tcW w:type="dxa" w:w="1234"/>
          </w:tcPr>
          <w:p>
            <w:r>
              <w:rPr>
                <w:rFonts w:ascii="Calibri" w:hAnsi="Calibri"/>
                <w:sz w:val="22"/>
              </w:rPr>
              <w:t>Annual director grant</w:t>
            </w:r>
          </w:p>
        </w:tc>
      </w:tr>
      <w:tr>
        <w:tc>
          <w:tcPr>
            <w:tcW w:type="dxa" w:w="1234"/>
          </w:tcPr>
          <w:p>
            <w:r>
              <w:rPr>
                <w:rFonts w:ascii="Calibri" w:hAnsi="Calibri"/>
                <w:sz w:val="22"/>
              </w:rPr>
              <w:t>May 12, 2026</w:t>
            </w:r>
          </w:p>
        </w:tc>
        <w:tc>
          <w:tcPr>
            <w:tcW w:type="dxa" w:w="1234"/>
          </w:tcPr>
          <w:p>
            <w:r>
              <w:rPr>
                <w:rFonts w:ascii="Calibri" w:hAnsi="Calibri"/>
                <w:sz w:val="22"/>
              </w:rPr>
              <w:t>Multiple Directors (8)</w:t>
            </w:r>
          </w:p>
        </w:tc>
        <w:tc>
          <w:tcPr>
            <w:tcW w:type="dxa" w:w="1234"/>
          </w:tcPr>
          <w:p>
            <w:r>
              <w:rPr>
                <w:rFonts w:ascii="Calibri" w:hAnsi="Calibri"/>
                <w:sz w:val="22"/>
              </w:rPr>
              <w:t>Director</w:t>
            </w:r>
          </w:p>
        </w:tc>
        <w:tc>
          <w:tcPr>
            <w:tcW w:type="dxa" w:w="1234"/>
          </w:tcPr>
          <w:p>
            <w:r>
              <w:rPr>
                <w:rFonts w:ascii="Calibri" w:hAnsi="Calibri"/>
                <w:sz w:val="22"/>
              </w:rPr>
              <w:t>Director Equity Grant (A)</w:t>
            </w:r>
          </w:p>
        </w:tc>
        <w:tc>
          <w:tcPr>
            <w:tcW w:type="dxa" w:w="1234"/>
          </w:tcPr>
          <w:p>
            <w:r>
              <w:rPr>
                <w:rFonts w:ascii="Calibri" w:hAnsi="Calibri"/>
                <w:sz w:val="22"/>
              </w:rPr>
              <w:t>1,360 each</w:t>
            </w:r>
          </w:p>
        </w:tc>
        <w:tc>
          <w:tcPr>
            <w:tcW w:type="dxa" w:w="1234"/>
          </w:tcPr>
          <w:p>
            <w:r>
              <w:rPr>
                <w:rFonts w:ascii="Calibri" w:hAnsi="Calibri"/>
                <w:sz w:val="22"/>
              </w:rPr>
              <w:t>Common Stock</w:t>
            </w:r>
          </w:p>
        </w:tc>
        <w:tc>
          <w:tcPr>
            <w:tcW w:type="dxa" w:w="1234"/>
          </w:tcPr>
          <w:p>
            <w:r>
              <w:rPr>
                <w:rFonts w:ascii="Calibri" w:hAnsi="Calibri"/>
                <w:sz w:val="22"/>
              </w:rPr>
              <w:t>Annual director grants (post-annual meeting)</w:t>
            </w:r>
          </w:p>
        </w:tc>
      </w:tr>
      <w:tr>
        <w:tc>
          <w:tcPr>
            <w:tcW w:type="dxa" w:w="1234"/>
          </w:tcPr>
          <w:p>
            <w:r>
              <w:rPr>
                <w:rFonts w:ascii="Calibri" w:hAnsi="Calibri"/>
                <w:sz w:val="22"/>
              </w:rPr>
              <w:t>May 1, 2026</w:t>
            </w:r>
          </w:p>
        </w:tc>
        <w:tc>
          <w:tcPr>
            <w:tcW w:type="dxa" w:w="1234"/>
          </w:tcPr>
          <w:p>
            <w:r>
              <w:rPr>
                <w:rFonts w:ascii="Calibri" w:hAnsi="Calibri"/>
                <w:sz w:val="22"/>
              </w:rPr>
              <w:t>Brown, William M.</w:t>
            </w:r>
          </w:p>
        </w:tc>
        <w:tc>
          <w:tcPr>
            <w:tcW w:type="dxa" w:w="1234"/>
          </w:tcPr>
          <w:p>
            <w:r>
              <w:rPr>
                <w:rFonts w:ascii="Calibri" w:hAnsi="Calibri"/>
                <w:sz w:val="22"/>
              </w:rPr>
              <w:t>Chairman &amp; CEO</w:t>
            </w:r>
          </w:p>
        </w:tc>
        <w:tc>
          <w:tcPr>
            <w:tcW w:type="dxa" w:w="1234"/>
          </w:tcPr>
          <w:p>
            <w:r>
              <w:rPr>
                <w:rFonts w:ascii="Calibri" w:hAnsi="Calibri"/>
                <w:sz w:val="22"/>
              </w:rPr>
              <w:t>RSU Vest (M) / Tax Withhold (F)</w:t>
            </w:r>
          </w:p>
        </w:tc>
        <w:tc>
          <w:tcPr>
            <w:tcW w:type="dxa" w:w="1234"/>
          </w:tcPr>
          <w:p>
            <w:r>
              <w:rPr>
                <w:rFonts w:ascii="Calibri" w:hAnsi="Calibri"/>
                <w:sz w:val="22"/>
              </w:rPr>
              <w:t>8,578 vested; 3,912 withheld</w:t>
            </w:r>
          </w:p>
        </w:tc>
        <w:tc>
          <w:tcPr>
            <w:tcW w:type="dxa" w:w="1234"/>
          </w:tcPr>
          <w:p>
            <w:r>
              <w:rPr>
                <w:rFonts w:ascii="Calibri" w:hAnsi="Calibri"/>
                <w:sz w:val="22"/>
              </w:rPr>
              <w:t>Common Stock</w:t>
            </w:r>
          </w:p>
        </w:tc>
        <w:tc>
          <w:tcPr>
            <w:tcW w:type="dxa" w:w="1234"/>
          </w:tcPr>
          <w:p>
            <w:r>
              <w:rPr>
                <w:rFonts w:ascii="Calibri" w:hAnsi="Calibri"/>
                <w:sz w:val="22"/>
              </w:rPr>
              <w:t>Routine RSU vesting; no open-market sale</w:t>
            </w:r>
          </w:p>
        </w:tc>
      </w:tr>
      <w:tr>
        <w:tc>
          <w:tcPr>
            <w:tcW w:type="dxa" w:w="1234"/>
          </w:tcPr>
          <w:p>
            <w:r>
              <w:rPr>
                <w:rFonts w:ascii="Calibri" w:hAnsi="Calibri"/>
                <w:sz w:val="22"/>
              </w:rPr>
              <w:t>May 1, 2026</w:t>
            </w:r>
          </w:p>
        </w:tc>
        <w:tc>
          <w:tcPr>
            <w:tcW w:type="dxa" w:w="1234"/>
          </w:tcPr>
          <w:p>
            <w:r>
              <w:rPr>
                <w:rFonts w:ascii="Calibri" w:hAnsi="Calibri"/>
                <w:sz w:val="22"/>
              </w:rPr>
              <w:t>Banovetz, John P.</w:t>
            </w:r>
          </w:p>
        </w:tc>
        <w:tc>
          <w:tcPr>
            <w:tcW w:type="dxa" w:w="1234"/>
          </w:tcPr>
          <w:p>
            <w:r>
              <w:rPr>
                <w:rFonts w:ascii="Calibri" w:hAnsi="Calibri"/>
                <w:sz w:val="22"/>
              </w:rPr>
              <w:t>Executive Vice President</w:t>
            </w:r>
          </w:p>
        </w:tc>
        <w:tc>
          <w:tcPr>
            <w:tcW w:type="dxa" w:w="1234"/>
          </w:tcPr>
          <w:p>
            <w:r>
              <w:rPr>
                <w:rFonts w:ascii="Calibri" w:hAnsi="Calibri"/>
                <w:sz w:val="22"/>
              </w:rPr>
              <w:t>RSU Vest (M) / Tax Withhold (F)</w:t>
            </w:r>
          </w:p>
        </w:tc>
        <w:tc>
          <w:tcPr>
            <w:tcW w:type="dxa" w:w="1234"/>
          </w:tcPr>
          <w:p>
            <w:r>
              <w:rPr>
                <w:rFonts w:ascii="Calibri" w:hAnsi="Calibri"/>
                <w:sz w:val="22"/>
              </w:rPr>
              <w:t>13,420 vested; 6,120 withheld</w:t>
            </w:r>
          </w:p>
        </w:tc>
        <w:tc>
          <w:tcPr>
            <w:tcW w:type="dxa" w:w="1234"/>
          </w:tcPr>
          <w:p>
            <w:r>
              <w:rPr>
                <w:rFonts w:ascii="Calibri" w:hAnsi="Calibri"/>
                <w:sz w:val="22"/>
              </w:rPr>
              <w:t>Common Stock</w:t>
            </w:r>
          </w:p>
        </w:tc>
        <w:tc>
          <w:tcPr>
            <w:tcW w:type="dxa" w:w="1234"/>
          </w:tcPr>
          <w:p>
            <w:r>
              <w:rPr>
                <w:rFonts w:ascii="Calibri" w:hAnsi="Calibri"/>
                <w:sz w:val="22"/>
              </w:rPr>
              <w:t>Routine RSU vesting</w:t>
            </w:r>
          </w:p>
        </w:tc>
      </w:tr>
      <w:tr>
        <w:tc>
          <w:tcPr>
            <w:tcW w:type="dxa" w:w="1234"/>
          </w:tcPr>
          <w:p>
            <w:r>
              <w:rPr>
                <w:rFonts w:ascii="Calibri" w:hAnsi="Calibri"/>
                <w:sz w:val="22"/>
              </w:rPr>
              <w:t>May 1, 2026</w:t>
            </w:r>
          </w:p>
        </w:tc>
        <w:tc>
          <w:tcPr>
            <w:tcW w:type="dxa" w:w="1234"/>
          </w:tcPr>
          <w:p>
            <w:r>
              <w:rPr>
                <w:rFonts w:ascii="Calibri" w:hAnsi="Calibri"/>
                <w:sz w:val="22"/>
              </w:rPr>
              <w:t>Reinseth, Theresa E.</w:t>
            </w:r>
          </w:p>
        </w:tc>
        <w:tc>
          <w:tcPr>
            <w:tcW w:type="dxa" w:w="1234"/>
          </w:tcPr>
          <w:p>
            <w:r>
              <w:rPr>
                <w:rFonts w:ascii="Calibri" w:hAnsi="Calibri"/>
                <w:sz w:val="22"/>
              </w:rPr>
              <w:t>SVP &amp; CAO</w:t>
            </w:r>
          </w:p>
        </w:tc>
        <w:tc>
          <w:tcPr>
            <w:tcW w:type="dxa" w:w="1234"/>
          </w:tcPr>
          <w:p>
            <w:r>
              <w:rPr>
                <w:rFonts w:ascii="Calibri" w:hAnsi="Calibri"/>
                <w:sz w:val="22"/>
              </w:rPr>
              <w:t>RSU Vest (M) / Tax Withhold (F)</w:t>
            </w:r>
          </w:p>
        </w:tc>
        <w:tc>
          <w:tcPr>
            <w:tcW w:type="dxa" w:w="1234"/>
          </w:tcPr>
          <w:p>
            <w:r>
              <w:rPr>
                <w:rFonts w:ascii="Calibri" w:hAnsi="Calibri"/>
                <w:sz w:val="22"/>
              </w:rPr>
              <w:t>1,441 vested; 517 withheld</w:t>
            </w:r>
          </w:p>
        </w:tc>
        <w:tc>
          <w:tcPr>
            <w:tcW w:type="dxa" w:w="1234"/>
          </w:tcPr>
          <w:p>
            <w:r>
              <w:rPr>
                <w:rFonts w:ascii="Calibri" w:hAnsi="Calibri"/>
                <w:sz w:val="22"/>
              </w:rPr>
              <w:t>Common Stock</w:t>
            </w:r>
          </w:p>
        </w:tc>
        <w:tc>
          <w:tcPr>
            <w:tcW w:type="dxa" w:w="1234"/>
          </w:tcPr>
          <w:p>
            <w:r>
              <w:rPr>
                <w:rFonts w:ascii="Calibri" w:hAnsi="Calibri"/>
                <w:sz w:val="22"/>
              </w:rPr>
              <w:t>Routine RSU vesting</w:t>
            </w:r>
          </w:p>
        </w:tc>
      </w:tr>
    </w:tbl>
    <w:p>
      <w:r>
        <w:rPr>
          <w:rFonts w:ascii="Calibri" w:hAnsi="Calibri"/>
          <w:b/>
          <w:color w:val="525866"/>
          <w:sz w:val="22"/>
        </w:rPr>
        <w:t xml:space="preserve">Transaction Code Key: </w:t>
      </w:r>
      <w:r>
        <w:rPr>
          <w:rFonts w:ascii="Calibri" w:hAnsi="Calibri"/>
          <w:color w:val="525866"/>
          <w:sz w:val="22"/>
        </w:rPr>
        <w:t>M = Exercise/Conversion (RSU vesting); F = Tax withholding disposition; A = Grant/Award (director equity grant). No open-market purchases (P) or discretionary sales (S) were recorded in the period.</w:t>
      </w:r>
    </w:p>
    <w:p>
      <w:r>
        <w:rPr>
          <w:rFonts w:ascii="Calibri" w:hAnsi="Calibri"/>
          <w:b/>
          <w:color w:val="525866"/>
          <w:sz w:val="22"/>
        </w:rPr>
        <w:t xml:space="preserve">Analysis: </w:t>
      </w:r>
      <w:r>
        <w:rPr>
          <w:rFonts w:ascii="Calibri" w:hAnsi="Calibri"/>
          <w:color w:val="525866"/>
          <w:sz w:val="22"/>
        </w:rPr>
        <w:t>All transactions are routine and non-discretionary. The CEO (William Brown) vested 8,578 RSUs on May 1 with 3,912 shares withheld for taxes — a standard post-earnings RSU vesting event with no open-market sale, which is a neutral-to-slightly-positive signal. The eight director grants on May 12 are standard annual equity compensation following the annual meeting. No insider has made an open-market purchase or sale since Q1 earnings, which is typical in the pre-earnings quiet period.</w:t>
      </w:r>
    </w:p>
    <w:p>
      <w:r>
        <w:rPr>
          <w:rFonts w:ascii="Calibri" w:hAnsi="Calibri"/>
          <w:i/>
          <w:color w:val="525866"/>
          <w:sz w:val="22"/>
        </w:rPr>
        <w:t>Source: SEC Form 4 Filings (Insider Transaction Data). Transactions cover April 21, 2026 – July 20, 2026.</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