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3M Company (MMM)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3M Company</w:t>
            </w:r>
          </w:p>
        </w:tc>
      </w:tr>
      <w:tr>
        <w:tc>
          <w:tcPr>
            <w:tcW w:type="dxa" w:w="4320"/>
          </w:tcPr>
          <w:p>
            <w:r>
              <w:rPr>
                <w:rFonts w:ascii="Calibri" w:hAnsi="Calibri"/>
                <w:b/>
                <w:sz w:val="22"/>
              </w:rPr>
              <w:t>Ticker</w:t>
            </w:r>
          </w:p>
        </w:tc>
        <w:tc>
          <w:tcPr>
            <w:tcW w:type="dxa" w:w="4320"/>
          </w:tcPr>
          <w:p>
            <w:r>
              <w:rPr>
                <w:rFonts w:ascii="Calibri" w:hAnsi="Calibri"/>
                <w:sz w:val="22"/>
              </w:rPr>
              <w:t>MMM US</w:t>
            </w:r>
          </w:p>
        </w:tc>
      </w:tr>
      <w:tr>
        <w:tc>
          <w:tcPr>
            <w:tcW w:type="dxa" w:w="4320"/>
          </w:tcPr>
          <w:p>
            <w:r>
              <w:rPr>
                <w:rFonts w:ascii="Calibri" w:hAnsi="Calibri"/>
                <w:b/>
                <w:sz w:val="22"/>
              </w:rPr>
              <w:t>Reporting Period</w:t>
            </w:r>
          </w:p>
        </w:tc>
        <w:tc>
          <w:tcPr>
            <w:tcW w:type="dxa" w:w="4320"/>
          </w:tcPr>
          <w:p>
            <w:r>
              <w:rPr>
                <w:rFonts w:ascii="Calibri" w:hAnsi="Calibri"/>
                <w:sz w:val="22"/>
              </w:rPr>
              <w:t>Q2 2026 (quarter ending June 30, 2026)</w:t>
            </w:r>
          </w:p>
        </w:tc>
      </w:tr>
      <w:tr>
        <w:tc>
          <w:tcPr>
            <w:tcW w:type="dxa" w:w="4320"/>
          </w:tcPr>
          <w:p>
            <w:r>
              <w:rPr>
                <w:rFonts w:ascii="Calibri" w:hAnsi="Calibri"/>
                <w:b/>
                <w:sz w:val="22"/>
              </w:rPr>
              <w:t>Earnings Date</w:t>
            </w:r>
          </w:p>
        </w:tc>
        <w:tc>
          <w:tcPr>
            <w:tcW w:type="dxa" w:w="4320"/>
          </w:tcPr>
          <w:p>
            <w:r>
              <w:rPr>
                <w:rFonts w:ascii="Calibri" w:hAnsi="Calibri"/>
                <w:sz w:val="22"/>
              </w:rPr>
              <w:t>July 21, 2026 — 9:00 AM ET</w:t>
            </w:r>
          </w:p>
        </w:tc>
      </w:tr>
      <w:tr>
        <w:tc>
          <w:tcPr>
            <w:tcW w:type="dxa" w:w="4320"/>
          </w:tcPr>
          <w:p>
            <w:r>
              <w:rPr>
                <w:rFonts w:ascii="Calibri" w:hAnsi="Calibri"/>
                <w:b/>
                <w:sz w:val="22"/>
              </w:rPr>
              <w:t>Last Earnings</w:t>
            </w:r>
          </w:p>
        </w:tc>
        <w:tc>
          <w:tcPr>
            <w:tcW w:type="dxa" w:w="4320"/>
          </w:tcPr>
          <w:p>
            <w:r>
              <w:rPr>
                <w:rFonts w:ascii="Calibri" w:hAnsi="Calibri"/>
                <w:sz w:val="22"/>
              </w:rPr>
              <w:t>April 21, 2026 (Q1 2026)</w:t>
            </w:r>
          </w:p>
        </w:tc>
      </w:tr>
      <w:tr>
        <w:tc>
          <w:tcPr>
            <w:tcW w:type="dxa" w:w="4320"/>
          </w:tcPr>
          <w:p>
            <w:r>
              <w:rPr>
                <w:rFonts w:ascii="Calibri" w:hAnsi="Calibri"/>
                <w:b/>
                <w:sz w:val="22"/>
              </w:rPr>
              <w:t>Prepared</w:t>
            </w:r>
          </w:p>
        </w:tc>
        <w:tc>
          <w:tcPr>
            <w:tcW w:type="dxa" w:w="4320"/>
          </w:tcPr>
          <w:p>
            <w:r>
              <w:rPr>
                <w:rFonts w:ascii="Calibri" w:hAnsi="Calibri"/>
                <w:sz w:val="22"/>
              </w:rPr>
              <w:t>July 20, 2026</w:t>
            </w:r>
          </w:p>
        </w:tc>
      </w:tr>
      <w:tr>
        <w:tc>
          <w:tcPr>
            <w:tcW w:type="dxa" w:w="4320"/>
          </w:tcPr>
          <w:p>
            <w:r>
              <w:rPr>
                <w:rFonts w:ascii="Calibri" w:hAnsi="Calibri"/>
                <w:b/>
                <w:sz w:val="22"/>
              </w:rPr>
              <w:t>Sector ETF Benchmark</w:t>
            </w:r>
          </w:p>
        </w:tc>
        <w:tc>
          <w:tcPr>
            <w:tcW w:type="dxa" w:w="4320"/>
          </w:tcPr>
          <w:p>
            <w:r>
              <w:rPr>
                <w:rFonts w:ascii="Calibri" w:hAnsi="Calibri"/>
                <w:sz w:val="22"/>
              </w:rPr>
              <w:t>XLI (Industrial Select Sector SPDR)</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is modestly constructive — consensus is a beatable bar on organic growth and EPS, management has explicitly guided Q2 organic growth to be </w:t>
      </w:r>
      <w:r>
        <w:rPr>
          <w:rFonts w:ascii="Calibri" w:hAnsi="Calibri"/>
          <w:b/>
          <w:color w:val="525866"/>
          <w:sz w:val="22"/>
        </w:rPr>
        <w:t>solidly above 3%</w:t>
      </w:r>
      <w:r>
        <w:rPr>
          <w:rFonts w:ascii="Calibri" w:hAnsi="Calibri"/>
          <w:color w:val="525866"/>
          <w:sz w:val="22"/>
        </w:rPr>
        <w:t xml:space="preserve"> (vs. the ~3.2% consensus), and the macro contingency embedded in full-year guidance has not been called upon. The single biggest swing factor is whether the strong order and backlog build converts cleanly to revenue, or whether any pre-buy pull-forward creates a Q3 air pocket.</w:t>
      </w:r>
    </w:p>
    <w:p>
      <w:r>
        <w:rPr>
          <w:rFonts w:ascii="Calibri" w:hAnsi="Calibri"/>
          <w:color w:val="525866"/>
          <w:sz w:val="22"/>
        </w:rPr>
        <w:t xml:space="preserve">Heading into the Q2 2026 print, the bar for 3M is achievable but not low. Consensus sits at ~$2.25 adjusted EPS and ~3.2% organic growth — both figures that management effectively pre-confirmed at the June 10 Wells Fargo conference, where CEO William Brown stated Q2 organic growth would be </w:t>
      </w:r>
      <w:r>
        <w:rPr>
          <w:rFonts w:ascii="Calibri" w:hAnsi="Calibri"/>
          <w:b/>
          <w:color w:val="525866"/>
          <w:sz w:val="22"/>
        </w:rPr>
        <w:t>"solidly above 3%"</w:t>
      </w:r>
      <w:r>
        <w:rPr>
          <w:rFonts w:ascii="Calibri" w:hAnsi="Calibri"/>
          <w:color w:val="525866"/>
          <w:sz w:val="22"/>
        </w:rPr>
        <w:t xml:space="preserve"> and that orders and backlog had continued to build through June. The guidance posture has shifted meaningfully more confident since the Q1 call: management walked back its earlier pre-buy characterization, attributing sustained order strength to commercial excellence and innovation rather than channel stocking, and confirmed the $0.05–$0.15 EPS macro contingency is not expected to be needed. Estimate revisions have drifted modestly higher since the Q1 print — Q2 EPS consensus moved from ~$2.23 to ~$2.25 and organic growth from ~2.8% to ~3.2% — tracking directionally with management's more confident tone. The stock has recovered from its post-Q1 dip (down ~2% on April 21) and is roughly flat since last earnings, trading at ~17x NTM P/E, a multiple that prices in continued execution but not a step-change acceleration. The key wildcard is the </w:t>
      </w:r>
      <w:r>
        <w:rPr>
          <w:rFonts w:ascii="Calibri" w:hAnsi="Calibri"/>
          <w:b/>
          <w:color w:val="525866"/>
          <w:sz w:val="22"/>
        </w:rPr>
        <w:t>data center / Expanded Beam Optics (EBO) ramp</w:t>
      </w:r>
      <w:r>
        <w:rPr>
          <w:rFonts w:ascii="Calibri" w:hAnsi="Calibri"/>
          <w:color w:val="525866"/>
          <w:sz w:val="22"/>
        </w:rPr>
        <w:t>: management doubled its TAM estimate to north of $2 billion within 90 days of Q1 earnings and flagged that its capacity expansion may already be insufficient — any update on EBO order conversion and back-half delivery timing could be the most market-moving disclosure of the call.</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beatable bar on both EPS (~$2.25) and organic growth (~3.2%), with management having pre-confirmed Q2 will be "solidly above 3%." The bigger swing factor is </w:t>
      </w:r>
      <w:r>
        <w:rPr>
          <w:rFonts w:ascii="Calibri" w:hAnsi="Calibri"/>
          <w:b/>
          <w:color w:val="525866"/>
          <w:sz w:val="22"/>
        </w:rPr>
        <w:t>operating margin</w:t>
      </w:r>
      <w:r>
        <w:rPr>
          <w:rFonts w:ascii="Calibri" w:hAnsi="Calibri"/>
          <w:color w:val="525866"/>
          <w:sz w:val="22"/>
        </w:rPr>
        <w:t xml:space="preserve"> — management guided ~24.5% for Q2, which is above the ~24.6% consensus, leaving room for a modest upside surprise if volume flow-through is clean.</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(Q1 Call)</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Net Sales ($B)</w:t>
            </w:r>
          </w:p>
        </w:tc>
        <w:tc>
          <w:tcPr>
            <w:tcW w:type="dxa" w:w="1234"/>
          </w:tcPr>
          <w:p>
            <w:r>
              <w:rPr>
                <w:rFonts w:ascii="Calibri" w:hAnsi="Calibri"/>
                <w:sz w:val="22"/>
              </w:rPr>
              <w:t>$6.03B</w:t>
            </w:r>
          </w:p>
        </w:tc>
        <w:tc>
          <w:tcPr>
            <w:tcW w:type="dxa" w:w="1234"/>
          </w:tcPr>
          <w:p>
            <w:r>
              <w:rPr>
                <w:rFonts w:ascii="Calibri" w:hAnsi="Calibri"/>
                <w:sz w:val="22"/>
              </w:rPr>
              <w:t>$6.34B</w:t>
            </w:r>
          </w:p>
        </w:tc>
        <w:tc>
          <w:tcPr>
            <w:tcW w:type="dxa" w:w="1234"/>
          </w:tcPr>
          <w:p>
            <w:r>
              <w:rPr>
                <w:rFonts w:ascii="Calibri" w:hAnsi="Calibri"/>
                <w:sz w:val="22"/>
              </w:rPr>
              <w:t>$6.31B</w:t>
            </w:r>
          </w:p>
        </w:tc>
        <w:tc>
          <w:tcPr>
            <w:tcW w:type="dxa" w:w="1234"/>
          </w:tcPr>
          <w:p>
            <w:r>
              <w:rPr>
                <w:rFonts w:ascii="Calibri" w:hAnsi="Calibri"/>
                <w:sz w:val="22"/>
              </w:rPr>
              <w:t>-0.5% YoY</w:t>
            </w:r>
          </w:p>
        </w:tc>
        <w:tc>
          <w:tcPr>
            <w:tcW w:type="dxa" w:w="1234"/>
          </w:tcPr>
          <w:p>
            <w:r>
              <w:rPr>
                <w:rFonts w:ascii="Calibri" w:hAnsi="Calibri"/>
                <w:sz w:val="22"/>
              </w:rPr>
              <w:t>~3% organic growth implied</w:t>
            </w:r>
          </w:p>
        </w:tc>
        <w:tc>
          <w:tcPr>
            <w:tcW w:type="dxa" w:w="1234"/>
          </w:tcPr>
          <w:p>
            <w:r>
              <w:rPr>
                <w:rFonts w:ascii="Calibri" w:hAnsi="Calibri"/>
                <w:sz w:val="22"/>
              </w:rPr>
              <w:t>In line</w:t>
            </w:r>
          </w:p>
        </w:tc>
      </w:tr>
      <w:tr>
        <w:tc>
          <w:tcPr>
            <w:tcW w:type="dxa" w:w="1234"/>
          </w:tcPr>
          <w:p>
            <w:r>
              <w:rPr>
                <w:rFonts w:ascii="Calibri" w:hAnsi="Calibri"/>
                <w:sz w:val="22"/>
              </w:rPr>
              <w:t>Adj. EPS - Diluted ($)</w:t>
            </w:r>
          </w:p>
        </w:tc>
        <w:tc>
          <w:tcPr>
            <w:tcW w:type="dxa" w:w="1234"/>
          </w:tcPr>
          <w:p>
            <w:r>
              <w:rPr>
                <w:rFonts w:ascii="Calibri" w:hAnsi="Calibri"/>
                <w:sz w:val="22"/>
              </w:rPr>
              <w:t>$2.14</w:t>
            </w:r>
          </w:p>
        </w:tc>
        <w:tc>
          <w:tcPr>
            <w:tcW w:type="dxa" w:w="1234"/>
          </w:tcPr>
          <w:p>
            <w:r>
              <w:rPr>
                <w:rFonts w:ascii="Calibri" w:hAnsi="Calibri"/>
                <w:sz w:val="22"/>
              </w:rPr>
              <w:t>$2.16</w:t>
            </w:r>
          </w:p>
        </w:tc>
        <w:tc>
          <w:tcPr>
            <w:tcW w:type="dxa" w:w="1234"/>
          </w:tcPr>
          <w:p>
            <w:r>
              <w:rPr>
                <w:rFonts w:ascii="Calibri" w:hAnsi="Calibri"/>
                <w:sz w:val="22"/>
              </w:rPr>
              <w:t>$2.25</w:t>
            </w:r>
          </w:p>
        </w:tc>
        <w:tc>
          <w:tcPr>
            <w:tcW w:type="dxa" w:w="1234"/>
          </w:tcPr>
          <w:p>
            <w:r>
              <w:rPr>
                <w:rFonts w:ascii="Calibri" w:hAnsi="Calibri"/>
                <w:sz w:val="22"/>
              </w:rPr>
              <w:t>+4.2% YoY</w:t>
            </w:r>
          </w:p>
        </w:tc>
        <w:tc>
          <w:tcPr>
            <w:tcW w:type="dxa" w:w="1234"/>
          </w:tcPr>
          <w:p>
            <w:r>
              <w:rPr>
                <w:rFonts w:ascii="Calibri" w:hAnsi="Calibri"/>
                <w:sz w:val="22"/>
              </w:rPr>
              <w:t>Grow &gt;$0.05 vs Q1; ~$2.19+</w:t>
            </w:r>
          </w:p>
        </w:tc>
        <w:tc>
          <w:tcPr>
            <w:tcW w:type="dxa" w:w="1234"/>
          </w:tcPr>
          <w:p>
            <w:r>
              <w:rPr>
                <w:rFonts w:ascii="Calibri" w:hAnsi="Calibri"/>
                <w:sz w:val="22"/>
              </w:rPr>
              <w:t>+~$0.06 above floor</w:t>
            </w:r>
          </w:p>
        </w:tc>
      </w:tr>
      <w:tr>
        <w:tc>
          <w:tcPr>
            <w:tcW w:type="dxa" w:w="1234"/>
          </w:tcPr>
          <w:p>
            <w:r>
              <w:rPr>
                <w:rFonts w:ascii="Calibri" w:hAnsi="Calibri"/>
                <w:sz w:val="22"/>
              </w:rPr>
              <w:t>Organic Growth - Operating (%)</w:t>
            </w:r>
          </w:p>
        </w:tc>
        <w:tc>
          <w:tcPr>
            <w:tcW w:type="dxa" w:w="1234"/>
          </w:tcPr>
          <w:p>
            <w:r>
              <w:rPr>
                <w:rFonts w:ascii="Calibri" w:hAnsi="Calibri"/>
                <w:sz w:val="22"/>
              </w:rPr>
              <w:t>1.2%</w:t>
            </w:r>
          </w:p>
        </w:tc>
        <w:tc>
          <w:tcPr>
            <w:tcW w:type="dxa" w:w="1234"/>
          </w:tcPr>
          <w:p>
            <w:r>
              <w:rPr>
                <w:rFonts w:ascii="Calibri" w:hAnsi="Calibri"/>
                <w:sz w:val="22"/>
              </w:rPr>
              <w:t>1.5%</w:t>
            </w:r>
          </w:p>
        </w:tc>
        <w:tc>
          <w:tcPr>
            <w:tcW w:type="dxa" w:w="1234"/>
          </w:tcPr>
          <w:p>
            <w:r>
              <w:rPr>
                <w:rFonts w:ascii="Calibri" w:hAnsi="Calibri"/>
                <w:sz w:val="22"/>
              </w:rPr>
              <w:t>3.2%</w:t>
            </w:r>
          </w:p>
        </w:tc>
        <w:tc>
          <w:tcPr>
            <w:tcW w:type="dxa" w:w="1234"/>
          </w:tcPr>
          <w:p>
            <w:r>
              <w:rPr>
                <w:rFonts w:ascii="Calibri" w:hAnsi="Calibri"/>
                <w:sz w:val="22"/>
              </w:rPr>
              <w:t>+170 bps YoY</w:t>
            </w:r>
          </w:p>
        </w:tc>
        <w:tc>
          <w:tcPr>
            <w:tcW w:type="dxa" w:w="1234"/>
          </w:tcPr>
          <w:p>
            <w:r>
              <w:rPr>
                <w:rFonts w:ascii="Calibri" w:hAnsi="Calibri"/>
                <w:sz w:val="22"/>
              </w:rPr>
              <w:t>&gt;3% ("solidly above 3%" per June conf.)</w:t>
            </w:r>
          </w:p>
        </w:tc>
        <w:tc>
          <w:tcPr>
            <w:tcW w:type="dxa" w:w="1234"/>
          </w:tcPr>
          <w:p>
            <w:r>
              <w:rPr>
                <w:rFonts w:ascii="Calibri" w:hAnsi="Calibri"/>
                <w:sz w:val="22"/>
              </w:rPr>
              <w:t>+~20 bps above floor</w:t>
            </w:r>
          </w:p>
        </w:tc>
      </w:tr>
      <w:tr>
        <w:tc>
          <w:tcPr>
            <w:tcW w:type="dxa" w:w="1234"/>
          </w:tcPr>
          <w:p>
            <w:r>
              <w:rPr>
                <w:rFonts w:ascii="Calibri" w:hAnsi="Calibri"/>
                <w:sz w:val="22"/>
              </w:rPr>
              <w:t>Operating Margin - Operating (%)</w:t>
            </w:r>
          </w:p>
        </w:tc>
        <w:tc>
          <w:tcPr>
            <w:tcW w:type="dxa" w:w="1234"/>
          </w:tcPr>
          <w:p>
            <w:r>
              <w:rPr>
                <w:rFonts w:ascii="Calibri" w:hAnsi="Calibri"/>
                <w:sz w:val="22"/>
              </w:rPr>
              <w:t>23.8%</w:t>
            </w:r>
          </w:p>
        </w:tc>
        <w:tc>
          <w:tcPr>
            <w:tcW w:type="dxa" w:w="1234"/>
          </w:tcPr>
          <w:p>
            <w:r>
              <w:rPr>
                <w:rFonts w:ascii="Calibri" w:hAnsi="Calibri"/>
                <w:sz w:val="22"/>
              </w:rPr>
              <w:t>24.5%</w:t>
            </w:r>
          </w:p>
        </w:tc>
        <w:tc>
          <w:tcPr>
            <w:tcW w:type="dxa" w:w="1234"/>
          </w:tcPr>
          <w:p>
            <w:r>
              <w:rPr>
                <w:rFonts w:ascii="Calibri" w:hAnsi="Calibri"/>
                <w:sz w:val="22"/>
              </w:rPr>
              <w:t>24.6%</w:t>
            </w:r>
          </w:p>
        </w:tc>
        <w:tc>
          <w:tcPr>
            <w:tcW w:type="dxa" w:w="1234"/>
          </w:tcPr>
          <w:p>
            <w:r>
              <w:rPr>
                <w:rFonts w:ascii="Calibri" w:hAnsi="Calibri"/>
                <w:sz w:val="22"/>
              </w:rPr>
              <w:t>+10 bps YoY</w:t>
            </w:r>
          </w:p>
        </w:tc>
        <w:tc>
          <w:tcPr>
            <w:tcW w:type="dxa" w:w="1234"/>
          </w:tcPr>
          <w:p>
            <w:r>
              <w:rPr>
                <w:rFonts w:ascii="Calibri" w:hAnsi="Calibri"/>
                <w:sz w:val="22"/>
              </w:rPr>
              <w:t>~24.5%</w:t>
            </w:r>
          </w:p>
        </w:tc>
        <w:tc>
          <w:tcPr>
            <w:tcW w:type="dxa" w:w="1234"/>
          </w:tcPr>
          <w:p>
            <w:r>
              <w:rPr>
                <w:rFonts w:ascii="Calibri" w:hAnsi="Calibri"/>
                <w:sz w:val="22"/>
              </w:rPr>
              <w:t>+~10 bps above guidance</w:t>
            </w:r>
          </w:p>
        </w:tc>
      </w:tr>
      <w:tr>
        <w:tc>
          <w:tcPr>
            <w:tcW w:type="dxa" w:w="1234"/>
          </w:tcPr>
          <w:p>
            <w:r>
              <w:rPr>
                <w:rFonts w:ascii="Calibri" w:hAnsi="Calibri"/>
                <w:sz w:val="22"/>
              </w:rPr>
              <w:t>Free Cash Flow - Operating ($B)</w:t>
            </w:r>
          </w:p>
        </w:tc>
        <w:tc>
          <w:tcPr>
            <w:tcW w:type="dxa" w:w="1234"/>
          </w:tcPr>
          <w:p>
            <w:r>
              <w:rPr>
                <w:rFonts w:ascii="Calibri" w:hAnsi="Calibri"/>
                <w:sz w:val="22"/>
              </w:rPr>
              <w:t>$0.54B</w:t>
            </w:r>
          </w:p>
        </w:tc>
        <w:tc>
          <w:tcPr>
            <w:tcW w:type="dxa" w:w="1234"/>
          </w:tcPr>
          <w:p>
            <w:r>
              <w:rPr>
                <w:rFonts w:ascii="Calibri" w:hAnsi="Calibri"/>
                <w:sz w:val="22"/>
              </w:rPr>
              <w:t>$1.28B</w:t>
            </w:r>
          </w:p>
        </w:tc>
        <w:tc>
          <w:tcPr>
            <w:tcW w:type="dxa" w:w="1234"/>
          </w:tcPr>
          <w:p>
            <w:r>
              <w:rPr>
                <w:rFonts w:ascii="Calibri" w:hAnsi="Calibri"/>
                <w:sz w:val="22"/>
              </w:rPr>
              <w:t>$1.05B</w:t>
            </w:r>
          </w:p>
        </w:tc>
        <w:tc>
          <w:tcPr>
            <w:tcW w:type="dxa" w:w="1234"/>
          </w:tcPr>
          <w:p>
            <w:r>
              <w:rPr>
                <w:rFonts w:ascii="Calibri" w:hAnsi="Calibri"/>
                <w:sz w:val="22"/>
              </w:rPr>
              <w:t>-18% YoY</w:t>
            </w:r>
          </w:p>
        </w:tc>
        <w:tc>
          <w:tcPr>
            <w:tcW w:type="dxa" w:w="1234"/>
          </w:tcPr>
          <w:p>
            <w:r>
              <w:rPr>
                <w:rFonts w:ascii="Calibri" w:hAnsi="Calibri"/>
                <w:sz w:val="22"/>
              </w:rPr>
              <w:t>&gt;100% FCF conversion (FY)</w:t>
            </w:r>
          </w:p>
        </w:tc>
        <w:tc>
          <w:tcPr>
            <w:tcW w:type="dxa" w:w="1234"/>
          </w:tcPr>
          <w:p>
            <w:r>
              <w:rPr>
                <w:rFonts w:ascii="Calibri" w:hAnsi="Calibri"/>
                <w:sz w:val="22"/>
              </w:rPr>
              <w:t>N/A (FY metric)</w:t>
            </w:r>
          </w:p>
        </w:tc>
      </w:tr>
    </w:tbl>
    <w:p>
      <w:r>
        <w:rPr>
          <w:rFonts w:ascii="Calibri" w:hAnsi="Calibri"/>
          <w:i/>
          <w:color w:val="525866"/>
          <w:sz w:val="22"/>
        </w:rPr>
        <w:t>Sources: Visible Alpha Consensus and Actuals Data (Net Sales, EPS-Diluted Operating, Organic Growth Operating, Operating Margin Operating, Free Cash Flow Operating). Q1 2026 actuals and Q2 2025 actuals from Visible Alpha. Q2 2026 consensus as of July 20, 2026. Guidance from Q1 2026 earnings call (April 21, 2026) and Wells Fargo Industrials &amp; Materials Conference (June 10, 2026).</w:t>
      </w:r>
    </w:p>
    <w:p>
      <w:pPr>
        <w:pStyle w:val="Heading3"/>
      </w:pPr>
      <w:r>
        <w:rPr>
          <w:rFonts w:ascii="Calibri" w:hAnsi="Calibri"/>
          <w:b/>
          <w:color w:val="3B4259"/>
          <w:sz w:val="24"/>
        </w:rPr>
        <w:t>Table 2 — Beat / Miss History (Last 8 Quarters, Top 2 KPIs)</w:t>
      </w:r>
    </w:p>
    <w:p>
      <w:pPr>
        <w:pStyle w:val="Heading4"/>
      </w:pPr>
      <w:r>
        <w:rPr>
          <w:rFonts w:ascii="Calibri" w:hAnsi="Calibri"/>
          <w:b/>
          <w:color w:val="3B4259"/>
          <w:sz w:val="22"/>
        </w:rPr>
        <w:t>Adj. EPS — Diluted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$2.14</w:t>
            </w:r>
          </w:p>
        </w:tc>
        <w:tc>
          <w:tcPr>
            <w:tcW w:type="dxa" w:w="1728"/>
          </w:tcPr>
          <w:p>
            <w:r>
              <w:rPr>
                <w:rFonts w:ascii="Calibri" w:hAnsi="Calibri"/>
                <w:sz w:val="22"/>
              </w:rPr>
              <w:t>$2.01</w:t>
            </w:r>
          </w:p>
        </w:tc>
        <w:tc>
          <w:tcPr>
            <w:tcW w:type="dxa" w:w="1728"/>
          </w:tcPr>
          <w:p>
            <w:r>
              <w:rPr>
                <w:rFonts w:ascii="Calibri" w:hAnsi="Calibri"/>
                <w:b/>
                <w:color w:val="30A46C"/>
                <w:sz w:val="22"/>
              </w:rPr>
              <w:t>+6.5%</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$1.83</w:t>
            </w:r>
          </w:p>
        </w:tc>
        <w:tc>
          <w:tcPr>
            <w:tcW w:type="dxa" w:w="1728"/>
          </w:tcPr>
          <w:p>
            <w:r>
              <w:rPr>
                <w:rFonts w:ascii="Calibri" w:hAnsi="Calibri"/>
                <w:sz w:val="22"/>
              </w:rPr>
              <w:t>$1.79</w:t>
            </w:r>
          </w:p>
        </w:tc>
        <w:tc>
          <w:tcPr>
            <w:tcW w:type="dxa" w:w="1728"/>
          </w:tcPr>
          <w:p>
            <w:r>
              <w:rPr>
                <w:rFonts w:ascii="Calibri" w:hAnsi="Calibri"/>
                <w:b/>
                <w:color w:val="30A46C"/>
                <w:sz w:val="22"/>
              </w:rPr>
              <w:t>+2.2%</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$2.19</w:t>
            </w:r>
          </w:p>
        </w:tc>
        <w:tc>
          <w:tcPr>
            <w:tcW w:type="dxa" w:w="1728"/>
          </w:tcPr>
          <w:p>
            <w:r>
              <w:rPr>
                <w:rFonts w:ascii="Calibri" w:hAnsi="Calibri"/>
                <w:sz w:val="22"/>
              </w:rPr>
              <w:t>$2.08</w:t>
            </w:r>
          </w:p>
        </w:tc>
        <w:tc>
          <w:tcPr>
            <w:tcW w:type="dxa" w:w="1728"/>
          </w:tcPr>
          <w:p>
            <w:r>
              <w:rPr>
                <w:rFonts w:ascii="Calibri" w:hAnsi="Calibri"/>
                <w:b/>
                <w:color w:val="30A46C"/>
                <w:sz w:val="22"/>
              </w:rPr>
              <w:t>+5.3%</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$2.16</w:t>
            </w:r>
          </w:p>
        </w:tc>
        <w:tc>
          <w:tcPr>
            <w:tcW w:type="dxa" w:w="1728"/>
          </w:tcPr>
          <w:p>
            <w:r>
              <w:rPr>
                <w:rFonts w:ascii="Calibri" w:hAnsi="Calibri"/>
                <w:sz w:val="22"/>
              </w:rPr>
              <w:t>$2.01</w:t>
            </w:r>
          </w:p>
        </w:tc>
        <w:tc>
          <w:tcPr>
            <w:tcW w:type="dxa" w:w="1728"/>
          </w:tcPr>
          <w:p>
            <w:r>
              <w:rPr>
                <w:rFonts w:ascii="Calibri" w:hAnsi="Calibri"/>
                <w:b/>
                <w:color w:val="30A46C"/>
                <w:sz w:val="22"/>
              </w:rPr>
              <w:t>+7.5%</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$1.88</w:t>
            </w:r>
          </w:p>
        </w:tc>
        <w:tc>
          <w:tcPr>
            <w:tcW w:type="dxa" w:w="1728"/>
          </w:tcPr>
          <w:p>
            <w:r>
              <w:rPr>
                <w:rFonts w:ascii="Calibri" w:hAnsi="Calibri"/>
                <w:sz w:val="22"/>
              </w:rPr>
              <w:t>$1.75</w:t>
            </w:r>
          </w:p>
        </w:tc>
        <w:tc>
          <w:tcPr>
            <w:tcW w:type="dxa" w:w="1728"/>
          </w:tcPr>
          <w:p>
            <w:r>
              <w:rPr>
                <w:rFonts w:ascii="Calibri" w:hAnsi="Calibri"/>
                <w:b/>
                <w:color w:val="30A46C"/>
                <w:sz w:val="22"/>
              </w:rPr>
              <w:t>+7.4%</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$1.68</w:t>
            </w:r>
          </w:p>
        </w:tc>
        <w:tc>
          <w:tcPr>
            <w:tcW w:type="dxa" w:w="1728"/>
          </w:tcPr>
          <w:p>
            <w:r>
              <w:rPr>
                <w:rFonts w:ascii="Calibri" w:hAnsi="Calibri"/>
                <w:sz w:val="22"/>
              </w:rPr>
              <w:t>$1.63</w:t>
            </w:r>
          </w:p>
        </w:tc>
        <w:tc>
          <w:tcPr>
            <w:tcW w:type="dxa" w:w="1728"/>
          </w:tcPr>
          <w:p>
            <w:r>
              <w:rPr>
                <w:rFonts w:ascii="Calibri" w:hAnsi="Calibri"/>
                <w:b/>
                <w:color w:val="30A46C"/>
                <w:sz w:val="22"/>
              </w:rPr>
              <w:t>+3.1%</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$1.98</w:t>
            </w:r>
          </w:p>
        </w:tc>
        <w:tc>
          <w:tcPr>
            <w:tcW w:type="dxa" w:w="1728"/>
          </w:tcPr>
          <w:p>
            <w:r>
              <w:rPr>
                <w:rFonts w:ascii="Calibri" w:hAnsi="Calibri"/>
                <w:sz w:val="22"/>
              </w:rPr>
              <w:t>$1.91</w:t>
            </w:r>
          </w:p>
        </w:tc>
        <w:tc>
          <w:tcPr>
            <w:tcW w:type="dxa" w:w="1728"/>
          </w:tcPr>
          <w:p>
            <w:r>
              <w:rPr>
                <w:rFonts w:ascii="Calibri" w:hAnsi="Calibri"/>
                <w:b/>
                <w:color w:val="30A46C"/>
                <w:sz w:val="22"/>
              </w:rPr>
              <w:t>+3.7%</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N/A — pre-Solventum spin</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i/>
          <w:color w:val="525866"/>
          <w:sz w:val="22"/>
        </w:rPr>
        <w:t>Source: Visible Alpha Consensus and Actuals Data. Consensus figures represent the as-of-date consensus at the time of each print.</w:t>
      </w:r>
    </w:p>
    <w:p>
      <w:pPr>
        <w:pStyle w:val="Heading4"/>
      </w:pPr>
      <w:r>
        <w:rPr>
          <w:rFonts w:ascii="Calibri" w:hAnsi="Calibri"/>
          <w:b/>
          <w:color w:val="3B4259"/>
          <w:sz w:val="22"/>
        </w:rPr>
        <w:t>Organic Growth — Operating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(bps)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1.2%</w:t>
            </w:r>
          </w:p>
        </w:tc>
        <w:tc>
          <w:tcPr>
            <w:tcW w:type="dxa" w:w="1728"/>
          </w:tcPr>
          <w:p>
            <w:r>
              <w:rPr>
                <w:rFonts w:ascii="Calibri" w:hAnsi="Calibri"/>
                <w:sz w:val="22"/>
              </w:rPr>
              <w:t>2.3%</w:t>
            </w:r>
          </w:p>
        </w:tc>
        <w:tc>
          <w:tcPr>
            <w:tcW w:type="dxa" w:w="1728"/>
          </w:tcPr>
          <w:p>
            <w:r>
              <w:rPr>
                <w:rFonts w:ascii="Calibri" w:hAnsi="Calibri"/>
                <w:b/>
                <w:color w:val="E5484D"/>
                <w:sz w:val="22"/>
              </w:rPr>
              <w:t>-110 bps</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2.2%</w:t>
            </w:r>
          </w:p>
        </w:tc>
        <w:tc>
          <w:tcPr>
            <w:tcW w:type="dxa" w:w="1728"/>
          </w:tcPr>
          <w:p>
            <w:r>
              <w:rPr>
                <w:rFonts w:ascii="Calibri" w:hAnsi="Calibri"/>
                <w:sz w:val="22"/>
              </w:rPr>
              <w:t>2.5%</w:t>
            </w:r>
          </w:p>
        </w:tc>
        <w:tc>
          <w:tcPr>
            <w:tcW w:type="dxa" w:w="1728"/>
          </w:tcPr>
          <w:p>
            <w:r>
              <w:rPr>
                <w:rFonts w:ascii="Calibri" w:hAnsi="Calibri"/>
                <w:b/>
                <w:color w:val="E5484D"/>
                <w:sz w:val="22"/>
              </w:rPr>
              <w:t>-30 bps</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3.2%</w:t>
            </w:r>
          </w:p>
        </w:tc>
        <w:tc>
          <w:tcPr>
            <w:tcW w:type="dxa" w:w="1728"/>
          </w:tcPr>
          <w:p>
            <w:r>
              <w:rPr>
                <w:rFonts w:ascii="Calibri" w:hAnsi="Calibri"/>
                <w:sz w:val="22"/>
              </w:rPr>
              <w:t>2.3%</w:t>
            </w:r>
          </w:p>
        </w:tc>
        <w:tc>
          <w:tcPr>
            <w:tcW w:type="dxa" w:w="1728"/>
          </w:tcPr>
          <w:p>
            <w:r>
              <w:rPr>
                <w:rFonts w:ascii="Calibri" w:hAnsi="Calibri"/>
                <w:b/>
                <w:color w:val="30A46C"/>
                <w:sz w:val="22"/>
              </w:rPr>
              <w:t>+90 bps</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1.5%</w:t>
            </w:r>
          </w:p>
        </w:tc>
        <w:tc>
          <w:tcPr>
            <w:tcW w:type="dxa" w:w="1728"/>
          </w:tcPr>
          <w:p>
            <w:r>
              <w:rPr>
                <w:rFonts w:ascii="Calibri" w:hAnsi="Calibri"/>
                <w:sz w:val="22"/>
              </w:rPr>
              <w:t>2.0%</w:t>
            </w:r>
          </w:p>
        </w:tc>
        <w:tc>
          <w:tcPr>
            <w:tcW w:type="dxa" w:w="1728"/>
          </w:tcPr>
          <w:p>
            <w:r>
              <w:rPr>
                <w:rFonts w:ascii="Calibri" w:hAnsi="Calibri"/>
                <w:b/>
                <w:color w:val="E5484D"/>
                <w:sz w:val="22"/>
              </w:rPr>
              <w:t>-50 bps</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1.5%</w:t>
            </w:r>
          </w:p>
        </w:tc>
        <w:tc>
          <w:tcPr>
            <w:tcW w:type="dxa" w:w="1728"/>
          </w:tcPr>
          <w:p>
            <w:r>
              <w:rPr>
                <w:rFonts w:ascii="Calibri" w:hAnsi="Calibri"/>
                <w:sz w:val="22"/>
              </w:rPr>
              <w:t>1.7%</w:t>
            </w:r>
          </w:p>
        </w:tc>
        <w:tc>
          <w:tcPr>
            <w:tcW w:type="dxa" w:w="1728"/>
          </w:tcPr>
          <w:p>
            <w:r>
              <w:rPr>
                <w:rFonts w:ascii="Calibri" w:hAnsi="Calibri"/>
                <w:b/>
                <w:color w:val="E5484D"/>
                <w:sz w:val="22"/>
              </w:rPr>
              <w:t>-20 bps</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2.1%</w:t>
            </w:r>
          </w:p>
        </w:tc>
        <w:tc>
          <w:tcPr>
            <w:tcW w:type="dxa" w:w="1728"/>
          </w:tcPr>
          <w:p>
            <w:r>
              <w:rPr>
                <w:rFonts w:ascii="Calibri" w:hAnsi="Calibri"/>
                <w:sz w:val="22"/>
              </w:rPr>
              <w:t>1.5%</w:t>
            </w:r>
          </w:p>
        </w:tc>
        <w:tc>
          <w:tcPr>
            <w:tcW w:type="dxa" w:w="1728"/>
          </w:tcPr>
          <w:p>
            <w:r>
              <w:rPr>
                <w:rFonts w:ascii="Calibri" w:hAnsi="Calibri"/>
                <w:b/>
                <w:color w:val="30A46C"/>
                <w:sz w:val="22"/>
              </w:rPr>
              <w:t>+60 bps</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1.0%</w:t>
            </w:r>
          </w:p>
        </w:tc>
        <w:tc>
          <w:tcPr>
            <w:tcW w:type="dxa" w:w="1728"/>
          </w:tcPr>
          <w:p>
            <w:r>
              <w:rPr>
                <w:rFonts w:ascii="Calibri" w:hAnsi="Calibri"/>
                <w:sz w:val="22"/>
              </w:rPr>
              <w:t>1.5%</w:t>
            </w:r>
          </w:p>
        </w:tc>
        <w:tc>
          <w:tcPr>
            <w:tcW w:type="dxa" w:w="1728"/>
          </w:tcPr>
          <w:p>
            <w:r>
              <w:rPr>
                <w:rFonts w:ascii="Calibri" w:hAnsi="Calibri"/>
                <w:b/>
                <w:color w:val="E5484D"/>
                <w:sz w:val="22"/>
              </w:rPr>
              <w:t>-50 bps</w:t>
            </w:r>
          </w:p>
        </w:tc>
        <w:tc>
          <w:tcPr>
            <w:tcW w:type="dxa" w:w="1728"/>
          </w:tcPr>
          <w:p>
            <w:r>
              <w:rPr>
                <w:rFonts w:ascii="Calibri" w:hAnsi="Calibri"/>
                <w:b/>
                <w:color w:val="E5484D"/>
                <w:sz w:val="22"/>
              </w:rPr>
              <w:t>Miss</w:t>
            </w:r>
          </w:p>
        </w:tc>
      </w:tr>
      <w:tr>
        <w:tc>
          <w:tcPr>
            <w:tcW w:type="dxa" w:w="1728"/>
          </w:tcPr>
          <w:p>
            <w:r>
              <w:rPr>
                <w:rFonts w:ascii="Calibri" w:hAnsi="Calibri"/>
                <w:sz w:val="22"/>
              </w:rPr>
              <w:t>Q2 2024</w:t>
            </w:r>
          </w:p>
        </w:tc>
        <w:tc>
          <w:tcPr>
            <w:tcW w:type="dxa" w:w="1728"/>
          </w:tcPr>
          <w:p>
            <w:r>
              <w:rPr>
                <w:rFonts w:ascii="Calibri" w:hAnsi="Calibri"/>
                <w:sz w:val="22"/>
              </w:rPr>
              <w:t>N/A — pre-Solventum spin</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3M has beaten adjusted EPS consensus in every quarter since the Solventum spin (7 for 7), typically by 3–8%, reflecting consistent productivity outperformance. Organic growth, however, has been a more mixed story — missing consensus in 5 of 7 quarters — making Q2's pre-confirmed "solidly above 3%" guidance particularly notable as a potential inflection.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Full-year guidance is unchanged in range ($8.50–$8.70 adj. EPS, ~3% organic growth), but the tone has shifted materially more confident since the Q1 call. Management confirmed at the June 10 Wells Fargo conference that the $0.05–$0.15 macro contingency is not expected to be needed, and Q2 organic growth will be "solidly above 3%" — effectively a soft pre-announcement of a beat.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Call, Apr 21)</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Adj. EPS</w:t>
            </w:r>
          </w:p>
        </w:tc>
        <w:tc>
          <w:tcPr>
            <w:tcW w:type="dxa" w:w="1728"/>
          </w:tcPr>
          <w:p>
            <w:r>
              <w:rPr>
                <w:rFonts w:ascii="Calibri" w:hAnsi="Calibri"/>
                <w:sz w:val="22"/>
              </w:rPr>
              <w:t>$8.50 – $8.70</w:t>
            </w:r>
          </w:p>
        </w:tc>
        <w:tc>
          <w:tcPr>
            <w:tcW w:type="dxa" w:w="1728"/>
          </w:tcPr>
          <w:p>
            <w:r>
              <w:rPr>
                <w:rFonts w:ascii="Calibri" w:hAnsi="Calibri"/>
                <w:sz w:val="22"/>
              </w:rPr>
              <w:t>Unchanged</w:t>
            </w:r>
          </w:p>
        </w:tc>
        <w:tc>
          <w:tcPr>
            <w:tcW w:type="dxa" w:w="1728"/>
          </w:tcPr>
          <w:p>
            <w:r>
              <w:rPr>
                <w:rFonts w:ascii="Calibri" w:hAnsi="Calibri"/>
                <w:sz w:val="22"/>
              </w:rPr>
              <w:t>$8.75</w:t>
            </w:r>
          </w:p>
        </w:tc>
        <w:tc>
          <w:tcPr>
            <w:tcW w:type="dxa" w:w="1728"/>
          </w:tcPr>
          <w:p>
            <w:r>
              <w:rPr>
                <w:rFonts w:ascii="Calibri" w:hAnsi="Calibri"/>
                <w:sz w:val="22"/>
              </w:rPr>
              <w:t>Consensus sits above guidance midpoint; management noted trending $0.05–$0.15 higher internally but held range due to macro contingency. At June 10 Wells Fargo conf., confirmed contingency not expected to be needed — tone more confident.</w:t>
            </w:r>
          </w:p>
        </w:tc>
      </w:tr>
      <w:tr>
        <w:tc>
          <w:tcPr>
            <w:tcW w:type="dxa" w:w="1728"/>
          </w:tcPr>
          <w:p>
            <w:r>
              <w:rPr>
                <w:rFonts w:ascii="Calibri" w:hAnsi="Calibri"/>
                <w:sz w:val="22"/>
              </w:rPr>
              <w:t>FY 2026 Organic Growth</w:t>
            </w:r>
          </w:p>
        </w:tc>
        <w:tc>
          <w:tcPr>
            <w:tcW w:type="dxa" w:w="1728"/>
          </w:tcPr>
          <w:p>
            <w:r>
              <w:rPr>
                <w:rFonts w:ascii="Calibri" w:hAnsi="Calibri"/>
                <w:sz w:val="22"/>
              </w:rPr>
              <w:t>~3%</w:t>
            </w:r>
          </w:p>
        </w:tc>
        <w:tc>
          <w:tcPr>
            <w:tcW w:type="dxa" w:w="1728"/>
          </w:tcPr>
          <w:p>
            <w:r>
              <w:rPr>
                <w:rFonts w:ascii="Calibri" w:hAnsi="Calibri"/>
                <w:sz w:val="22"/>
              </w:rPr>
              <w:t>Unchanged</w:t>
            </w:r>
          </w:p>
        </w:tc>
        <w:tc>
          <w:tcPr>
            <w:tcW w:type="dxa" w:w="1728"/>
          </w:tcPr>
          <w:p>
            <w:r>
              <w:rPr>
                <w:rFonts w:ascii="Calibri" w:hAnsi="Calibri"/>
                <w:sz w:val="22"/>
              </w:rPr>
              <w:t>~2.97%</w:t>
            </w:r>
          </w:p>
        </w:tc>
        <w:tc>
          <w:tcPr>
            <w:tcW w:type="dxa" w:w="1728"/>
          </w:tcPr>
          <w:p>
            <w:r>
              <w:rPr>
                <w:rFonts w:ascii="Calibri" w:hAnsi="Calibri"/>
                <w:sz w:val="22"/>
              </w:rPr>
              <w:t>Consensus in line with guidance. Outgrowth vs. macro tracking to exceed $300M in 2026 (vs. $150M in 2025), ahead of 3-year $1B target schedule.</w:t>
            </w:r>
          </w:p>
        </w:tc>
      </w:tr>
      <w:tr>
        <w:tc>
          <w:tcPr>
            <w:tcW w:type="dxa" w:w="1728"/>
          </w:tcPr>
          <w:p>
            <w:r>
              <w:rPr>
                <w:rFonts w:ascii="Calibri" w:hAnsi="Calibri"/>
                <w:sz w:val="22"/>
              </w:rPr>
              <w:t>Q2 2026 Organic Growth</w:t>
            </w:r>
          </w:p>
        </w:tc>
        <w:tc>
          <w:tcPr>
            <w:tcW w:type="dxa" w:w="1728"/>
          </w:tcPr>
          <w:p>
            <w:r>
              <w:rPr>
                <w:rFonts w:ascii="Calibri" w:hAnsi="Calibri"/>
                <w:sz w:val="22"/>
              </w:rPr>
              <w:t>&gt;3%</w:t>
            </w:r>
          </w:p>
        </w:tc>
        <w:tc>
          <w:tcPr>
            <w:tcW w:type="dxa" w:w="1728"/>
          </w:tcPr>
          <w:p>
            <w:r>
              <w:rPr>
                <w:rFonts w:ascii="Calibri" w:hAnsi="Calibri"/>
                <w:sz w:val="22"/>
              </w:rPr>
              <w:t>"Solidly above 3%" (June 10 conf.)</w:t>
            </w:r>
          </w:p>
        </w:tc>
        <w:tc>
          <w:tcPr>
            <w:tcW w:type="dxa" w:w="1728"/>
          </w:tcPr>
          <w:p>
            <w:r>
              <w:rPr>
                <w:rFonts w:ascii="Calibri" w:hAnsi="Calibri"/>
                <w:sz w:val="22"/>
              </w:rPr>
              <w:t>~3.2%</w:t>
            </w:r>
          </w:p>
        </w:tc>
        <w:tc>
          <w:tcPr>
            <w:tcW w:type="dxa" w:w="1728"/>
          </w:tcPr>
          <w:p>
            <w:r>
              <w:rPr>
                <w:rFonts w:ascii="Calibri" w:hAnsi="Calibri"/>
                <w:sz w:val="22"/>
              </w:rPr>
              <w:t>↑ Strengthened at Wells Fargo June 10, 2026; management confirmed orders and backlog continued to build through June; pre-buy characterization from Q1 call walked back.</w:t>
            </w:r>
          </w:p>
        </w:tc>
      </w:tr>
      <w:tr>
        <w:tc>
          <w:tcPr>
            <w:tcW w:type="dxa" w:w="1728"/>
          </w:tcPr>
          <w:p>
            <w:r>
              <w:rPr>
                <w:rFonts w:ascii="Calibri" w:hAnsi="Calibri"/>
                <w:sz w:val="22"/>
              </w:rPr>
              <w:t>Q2 2026 Adj. Operating Margin</w:t>
            </w:r>
          </w:p>
        </w:tc>
        <w:tc>
          <w:tcPr>
            <w:tcW w:type="dxa" w:w="1728"/>
          </w:tcPr>
          <w:p>
            <w:r>
              <w:rPr>
                <w:rFonts w:ascii="Calibri" w:hAnsi="Calibri"/>
                <w:sz w:val="22"/>
              </w:rPr>
              <w:t>~24.5%</w:t>
            </w:r>
          </w:p>
        </w:tc>
        <w:tc>
          <w:tcPr>
            <w:tcW w:type="dxa" w:w="1728"/>
          </w:tcPr>
          <w:p>
            <w:r>
              <w:rPr>
                <w:rFonts w:ascii="Calibri" w:hAnsi="Calibri"/>
                <w:sz w:val="22"/>
              </w:rPr>
              <w:t>Unchanged</w:t>
            </w:r>
          </w:p>
        </w:tc>
        <w:tc>
          <w:tcPr>
            <w:tcW w:type="dxa" w:w="1728"/>
          </w:tcPr>
          <w:p>
            <w:r>
              <w:rPr>
                <w:rFonts w:ascii="Calibri" w:hAnsi="Calibri"/>
                <w:sz w:val="22"/>
              </w:rPr>
              <w:t>~24.6%</w:t>
            </w:r>
          </w:p>
        </w:tc>
        <w:tc>
          <w:tcPr>
            <w:tcW w:type="dxa" w:w="1728"/>
          </w:tcPr>
          <w:p>
            <w:r>
              <w:rPr>
                <w:rFonts w:ascii="Calibri" w:hAnsi="Calibri"/>
                <w:sz w:val="22"/>
              </w:rPr>
              <w:t>Consensus marginally above guidance; management guided "solid margin, about 24.5%" on Q1 call.</w:t>
            </w:r>
          </w:p>
        </w:tc>
      </w:tr>
      <w:tr>
        <w:tc>
          <w:tcPr>
            <w:tcW w:type="dxa" w:w="1728"/>
          </w:tcPr>
          <w:p>
            <w:r>
              <w:rPr>
                <w:rFonts w:ascii="Calibri" w:hAnsi="Calibri"/>
                <w:sz w:val="22"/>
              </w:rPr>
              <w:t>FY 2026 Adj. Operating Margin Expansion</w:t>
            </w:r>
          </w:p>
        </w:tc>
        <w:tc>
          <w:tcPr>
            <w:tcW w:type="dxa" w:w="1728"/>
          </w:tcPr>
          <w:p>
            <w:r>
              <w:rPr>
                <w:rFonts w:ascii="Calibri" w:hAnsi="Calibri"/>
                <w:sz w:val="22"/>
              </w:rPr>
              <w:t>+70 to +80 bps</w:t>
            </w:r>
          </w:p>
        </w:tc>
        <w:tc>
          <w:tcPr>
            <w:tcW w:type="dxa" w:w="1728"/>
          </w:tcPr>
          <w:p>
            <w:r>
              <w:rPr>
                <w:rFonts w:ascii="Calibri" w:hAnsi="Calibri"/>
                <w:sz w:val="22"/>
              </w:rPr>
              <w:t>Unchanged</w:t>
            </w:r>
          </w:p>
        </w:tc>
        <w:tc>
          <w:tcPr>
            <w:tcW w:type="dxa" w:w="1728"/>
          </w:tcPr>
          <w:p>
            <w:r>
              <w:rPr>
                <w:rFonts w:ascii="Calibri" w:hAnsi="Calibri"/>
                <w:sz w:val="22"/>
              </w:rPr>
              <w:t>~24.1%</w:t>
            </w:r>
          </w:p>
        </w:tc>
        <w:tc>
          <w:tcPr>
            <w:tcW w:type="dxa" w:w="1728"/>
          </w:tcPr>
          <w:p>
            <w:r>
              <w:rPr>
                <w:rFonts w:ascii="Calibri" w:hAnsi="Calibri"/>
                <w:sz w:val="22"/>
              </w:rPr>
              <w:t>Business group margin expansion guided at ~100 bps; net productivity target at least halfway to $1B annualized by year-end 2026.</w:t>
            </w:r>
          </w:p>
        </w:tc>
      </w:tr>
      <w:tr>
        <w:tc>
          <w:tcPr>
            <w:tcW w:type="dxa" w:w="1728"/>
          </w:tcPr>
          <w:p>
            <w:r>
              <w:rPr>
                <w:rFonts w:ascii="Calibri" w:hAnsi="Calibri"/>
                <w:sz w:val="22"/>
              </w:rPr>
              <w:t>FY 2026 Adj. Free Cash Flow</w:t>
            </w:r>
          </w:p>
        </w:tc>
        <w:tc>
          <w:tcPr>
            <w:tcW w:type="dxa" w:w="1728"/>
          </w:tcPr>
          <w:p>
            <w:r>
              <w:rPr>
                <w:rFonts w:ascii="Calibri" w:hAnsi="Calibri"/>
                <w:sz w:val="22"/>
              </w:rPr>
              <w:t>$4.6B – $4.8B (&gt;100% conversion)</w:t>
            </w:r>
          </w:p>
        </w:tc>
        <w:tc>
          <w:tcPr>
            <w:tcW w:type="dxa" w:w="1728"/>
          </w:tcPr>
          <w:p>
            <w:r>
              <w:rPr>
                <w:rFonts w:ascii="Calibri" w:hAnsi="Calibri"/>
                <w:sz w:val="22"/>
              </w:rPr>
              <w:t>Unchanged</w:t>
            </w:r>
          </w:p>
        </w:tc>
        <w:tc>
          <w:tcPr>
            <w:tcW w:type="dxa" w:w="1728"/>
          </w:tcPr>
          <w:p>
            <w:r>
              <w:rPr>
                <w:rFonts w:ascii="Calibri" w:hAnsi="Calibri"/>
                <w:sz w:val="22"/>
              </w:rPr>
              <w:t>~$4.74B</w:t>
            </w:r>
          </w:p>
        </w:tc>
        <w:tc>
          <w:tcPr>
            <w:tcW w:type="dxa" w:w="1728"/>
          </w:tcPr>
          <w:p>
            <w:r>
              <w:rPr>
                <w:rFonts w:ascii="Calibri" w:hAnsi="Calibri"/>
                <w:sz w:val="22"/>
              </w:rPr>
              <w:t>Consensus in line with guidance midpoint.</w:t>
            </w:r>
          </w:p>
        </w:tc>
      </w:tr>
      <w:tr>
        <w:tc>
          <w:tcPr>
            <w:tcW w:type="dxa" w:w="1728"/>
          </w:tcPr>
          <w:p>
            <w:r>
              <w:rPr>
                <w:rFonts w:ascii="Calibri" w:hAnsi="Calibri"/>
                <w:sz w:val="22"/>
              </w:rPr>
              <w:t>FY 2026 Pricing</w:t>
            </w:r>
          </w:p>
        </w:tc>
        <w:tc>
          <w:tcPr>
            <w:tcW w:type="dxa" w:w="1728"/>
          </w:tcPr>
          <w:p>
            <w:r>
              <w:rPr>
                <w:rFonts w:ascii="Calibri" w:hAnsi="Calibri"/>
                <w:sz w:val="22"/>
              </w:rPr>
              <w:t>~80 bps (original); updated to ~130 bps on Q1 call due to oil-driven cost pass-through</w:t>
            </w:r>
          </w:p>
        </w:tc>
        <w:tc>
          <w:tcPr>
            <w:tcW w:type="dxa" w:w="1728"/>
          </w:tcPr>
          <w:p>
            <w:r>
              <w:rPr>
                <w:rFonts w:ascii="Calibri" w:hAnsi="Calibri"/>
                <w:sz w:val="22"/>
              </w:rPr>
              <w:t>Unchanged at ~130 bps</w:t>
            </w:r>
          </w:p>
        </w:tc>
        <w:tc>
          <w:tcPr>
            <w:tcW w:type="dxa" w:w="1728"/>
          </w:tcPr>
          <w:p>
            <w:r>
              <w:rPr>
                <w:rFonts w:ascii="Calibri" w:hAnsi="Calibri"/>
                <w:sz w:val="22"/>
              </w:rPr>
              <w:t>N/A (not separately tracked in consensus)</w:t>
            </w:r>
          </w:p>
        </w:tc>
        <w:tc>
          <w:tcPr>
            <w:tcW w:type="dxa" w:w="1728"/>
          </w:tcPr>
          <w:p>
            <w:r>
              <w:rPr>
                <w:rFonts w:ascii="Calibri" w:hAnsi="Calibri"/>
                <w:sz w:val="22"/>
              </w:rPr>
              <w:t>Oil-based price increase of ~$125M / ~50 bps implemented May 1 in US/Europe; management confirmed at June conf. pricing governance improving.</w:t>
            </w:r>
          </w:p>
        </w:tc>
      </w:tr>
      <w:tr>
        <w:tc>
          <w:tcPr>
            <w:tcW w:type="dxa" w:w="1728"/>
          </w:tcPr>
          <w:p>
            <w:r>
              <w:rPr>
                <w:rFonts w:ascii="Calibri" w:hAnsi="Calibri"/>
                <w:sz w:val="22"/>
              </w:rPr>
              <w:t>EBO / Data Center TAM</w:t>
            </w:r>
          </w:p>
        </w:tc>
        <w:tc>
          <w:tcPr>
            <w:tcW w:type="dxa" w:w="1728"/>
          </w:tcPr>
          <w:p>
            <w:r>
              <w:rPr>
                <w:rFonts w:ascii="Calibri" w:hAnsi="Calibri"/>
                <w:sz w:val="22"/>
              </w:rPr>
              <w:t>&gt;$1B (stated at Q1 earnings, Apr 21)</w:t>
            </w:r>
          </w:p>
        </w:tc>
        <w:tc>
          <w:tcPr>
            <w:tcW w:type="dxa" w:w="1728"/>
          </w:tcPr>
          <w:p>
            <w:r>
              <w:rPr>
                <w:rFonts w:ascii="Calibri" w:hAnsi="Calibri"/>
                <w:sz w:val="22"/>
              </w:rPr>
              <w:t>Revised to &gt;$2B (June 10 conf., ~90 days later)</w:t>
            </w:r>
          </w:p>
        </w:tc>
        <w:tc>
          <w:tcPr>
            <w:tcW w:type="dxa" w:w="1728"/>
          </w:tcPr>
          <w:p>
            <w:r>
              <w:rPr>
                <w:rFonts w:ascii="Calibri" w:hAnsi="Calibri"/>
                <w:sz w:val="22"/>
              </w:rPr>
              <w:t>N/A</w:t>
            </w:r>
          </w:p>
        </w:tc>
        <w:tc>
          <w:tcPr>
            <w:tcW w:type="dxa" w:w="1728"/>
          </w:tcPr>
          <w:p>
            <w:r>
              <w:rPr>
                <w:rFonts w:ascii="Calibri" w:hAnsi="Calibri"/>
                <w:sz w:val="22"/>
              </w:rPr>
              <w:t>↑ Doubled TAM estimate at Wells Fargo June 10, 2026; capacity expansion announced earlier in year now viewed as potentially insufficient; first hyperscaler order placed in Q1 for back-half delivery.</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drifted modestly higher since the Q1 print across all key metrics, tracking directionally with management's more confident tone. The gap between consensus EPS ($8.75) and guidance midpoint ($8.60) reflects the market pricing in that the macro contingency will not be needed — a view management itself endorsed at the June conference. Organic growth estimates have moved most meaningfully, rising ~46 bps for Q2 since the post-Q1 baseline, consistent with management's explicit upgrade to "solidly above 3%."</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(Apr 28, 2026 — 5 days post-Q1)</w:t>
            </w:r>
          </w:p>
        </w:tc>
        <w:tc>
          <w:tcPr>
            <w:tcW w:type="dxa" w:w="1080"/>
            <w:shd w:val="clear" w:color="auto" w:fill="3B4259"/>
          </w:tcPr>
          <w:p>
            <w:r>
              <w:rPr>
                <w:rFonts w:ascii="Calibri" w:hAnsi="Calibri"/>
                <w:b/>
                <w:color w:val="FFFFFF"/>
                <w:sz w:val="22"/>
              </w:rPr>
              <w:t>Current Consensus (Jul 20,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$2.23</w:t>
            </w:r>
          </w:p>
        </w:tc>
        <w:tc>
          <w:tcPr>
            <w:tcW w:type="dxa" w:w="1080"/>
          </w:tcPr>
          <w:p>
            <w:r>
              <w:rPr>
                <w:rFonts w:ascii="Calibri" w:hAnsi="Calibri"/>
                <w:sz w:val="22"/>
              </w:rPr>
              <w:t>$2.25</w:t>
            </w:r>
          </w:p>
        </w:tc>
        <w:tc>
          <w:tcPr>
            <w:tcW w:type="dxa" w:w="1080"/>
          </w:tcPr>
          <w:p>
            <w:r>
              <w:rPr>
                <w:rFonts w:ascii="Calibri" w:hAnsi="Calibri"/>
                <w:b/>
                <w:color w:val="30A46C"/>
                <w:sz w:val="22"/>
              </w:rPr>
              <w:t>+0.9%</w:t>
            </w:r>
          </w:p>
        </w:tc>
        <w:tc>
          <w:tcPr>
            <w:tcW w:type="dxa" w:w="1080"/>
          </w:tcPr>
          <w:p>
            <w:r>
              <w:rPr>
                <w:rFonts w:ascii="Calibri" w:hAnsi="Calibri"/>
                <w:sz w:val="22"/>
              </w:rPr>
              <w:t>&gt;$2.19 (grow &gt;$0.05 vs Q1 $2.14)</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+~$0.06 above floor</w:t>
            </w:r>
          </w:p>
        </w:tc>
      </w:tr>
      <w:tr>
        <w:tc>
          <w:tcPr>
            <w:tcW w:type="dxa" w:w="1080"/>
          </w:tcPr>
          <w:p>
            <w:r>
              <w:rPr>
                <w:rFonts w:ascii="Calibri" w:hAnsi="Calibri"/>
                <w:sz w:val="22"/>
              </w:rPr>
              <w:t>Adj. EPS — FY 2026</w:t>
            </w:r>
          </w:p>
        </w:tc>
        <w:tc>
          <w:tcPr>
            <w:tcW w:type="dxa" w:w="1080"/>
          </w:tcPr>
          <w:p>
            <w:r>
              <w:rPr>
                <w:rFonts w:ascii="Calibri" w:hAnsi="Calibri"/>
                <w:sz w:val="22"/>
              </w:rPr>
              <w:t>$8.70</w:t>
            </w:r>
          </w:p>
        </w:tc>
        <w:tc>
          <w:tcPr>
            <w:tcW w:type="dxa" w:w="1080"/>
          </w:tcPr>
          <w:p>
            <w:r>
              <w:rPr>
                <w:rFonts w:ascii="Calibri" w:hAnsi="Calibri"/>
                <w:sz w:val="22"/>
              </w:rPr>
              <w:t>$8.75</w:t>
            </w:r>
          </w:p>
        </w:tc>
        <w:tc>
          <w:tcPr>
            <w:tcW w:type="dxa" w:w="1080"/>
          </w:tcPr>
          <w:p>
            <w:r>
              <w:rPr>
                <w:rFonts w:ascii="Calibri" w:hAnsi="Calibri"/>
                <w:b/>
                <w:color w:val="30A46C"/>
                <w:sz w:val="22"/>
              </w:rPr>
              <w:t>+0.6%</w:t>
            </w:r>
          </w:p>
        </w:tc>
        <w:tc>
          <w:tcPr>
            <w:tcW w:type="dxa" w:w="1080"/>
          </w:tcPr>
          <w:p>
            <w:r>
              <w:rPr>
                <w:rFonts w:ascii="Calibri" w:hAnsi="Calibri"/>
                <w:sz w:val="22"/>
              </w:rPr>
              <w:t>$8.50 – $8.70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+1.7% above midpoint ($8.60)</w:t>
            </w:r>
          </w:p>
        </w:tc>
      </w:tr>
      <w:tr>
        <w:tc>
          <w:tcPr>
            <w:tcW w:type="dxa" w:w="1080"/>
          </w:tcPr>
          <w:p>
            <w:r>
              <w:rPr>
                <w:rFonts w:ascii="Calibri" w:hAnsi="Calibri"/>
                <w:sz w:val="22"/>
              </w:rPr>
              <w:t>Net Sales — Q2 2026 ($B)</w:t>
            </w:r>
          </w:p>
        </w:tc>
        <w:tc>
          <w:tcPr>
            <w:tcW w:type="dxa" w:w="1080"/>
          </w:tcPr>
          <w:p>
            <w:r>
              <w:rPr>
                <w:rFonts w:ascii="Calibri" w:hAnsi="Calibri"/>
                <w:sz w:val="22"/>
              </w:rPr>
              <w:t>$6.31B</w:t>
            </w:r>
          </w:p>
        </w:tc>
        <w:tc>
          <w:tcPr>
            <w:tcW w:type="dxa" w:w="1080"/>
          </w:tcPr>
          <w:p>
            <w:r>
              <w:rPr>
                <w:rFonts w:ascii="Calibri" w:hAnsi="Calibri"/>
                <w:sz w:val="22"/>
              </w:rPr>
              <w:t>$6.31B</w:t>
            </w:r>
          </w:p>
        </w:tc>
        <w:tc>
          <w:tcPr>
            <w:tcW w:type="dxa" w:w="1080"/>
          </w:tcPr>
          <w:p>
            <w:r>
              <w:rPr>
                <w:rFonts w:ascii="Calibri" w:hAnsi="Calibri"/>
                <w:sz w:val="22"/>
              </w:rPr>
              <w:t>Flat</w:t>
            </w:r>
          </w:p>
        </w:tc>
        <w:tc>
          <w:tcPr>
            <w:tcW w:type="dxa" w:w="1080"/>
          </w:tcPr>
          <w:p>
            <w:r>
              <w:rPr>
                <w:rFonts w:ascii="Calibri" w:hAnsi="Calibri"/>
                <w:sz w:val="22"/>
              </w:rPr>
              <w:t>~3% organic growth implied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Net Sales — FY 2026 ($B)</w:t>
            </w:r>
          </w:p>
        </w:tc>
        <w:tc>
          <w:tcPr>
            <w:tcW w:type="dxa" w:w="1080"/>
          </w:tcPr>
          <w:p>
            <w:r>
              <w:rPr>
                <w:rFonts w:ascii="Calibri" w:hAnsi="Calibri"/>
                <w:sz w:val="22"/>
              </w:rPr>
              <w:t>$25.15B</w:t>
            </w:r>
          </w:p>
        </w:tc>
        <w:tc>
          <w:tcPr>
            <w:tcW w:type="dxa" w:w="1080"/>
          </w:tcPr>
          <w:p>
            <w:r>
              <w:rPr>
                <w:rFonts w:ascii="Calibri" w:hAnsi="Calibri"/>
                <w:sz w:val="22"/>
              </w:rPr>
              <w:t>$25.11B</w:t>
            </w:r>
          </w:p>
        </w:tc>
        <w:tc>
          <w:tcPr>
            <w:tcW w:type="dxa" w:w="1080"/>
          </w:tcPr>
          <w:p>
            <w:r>
              <w:rPr>
                <w:rFonts w:ascii="Calibri" w:hAnsi="Calibri"/>
                <w:sz w:val="22"/>
              </w:rPr>
              <w:t>-0.2%</w:t>
            </w:r>
          </w:p>
        </w:tc>
        <w:tc>
          <w:tcPr>
            <w:tcW w:type="dxa" w:w="1080"/>
          </w:tcPr>
          <w:p>
            <w:r>
              <w:rPr>
                <w:rFonts w:ascii="Calibri" w:hAnsi="Calibri"/>
                <w:sz w:val="22"/>
              </w:rPr>
              <w:t>~4% total sales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Organic Growth — Q2 2026 (%)</w:t>
            </w:r>
          </w:p>
        </w:tc>
        <w:tc>
          <w:tcPr>
            <w:tcW w:type="dxa" w:w="1080"/>
          </w:tcPr>
          <w:p>
            <w:r>
              <w:rPr>
                <w:rFonts w:ascii="Calibri" w:hAnsi="Calibri"/>
                <w:sz w:val="22"/>
              </w:rPr>
              <w:t>2.76%</w:t>
            </w:r>
          </w:p>
        </w:tc>
        <w:tc>
          <w:tcPr>
            <w:tcW w:type="dxa" w:w="1080"/>
          </w:tcPr>
          <w:p>
            <w:r>
              <w:rPr>
                <w:rFonts w:ascii="Calibri" w:hAnsi="Calibri"/>
                <w:sz w:val="22"/>
              </w:rPr>
              <w:t>3.22%</w:t>
            </w:r>
          </w:p>
        </w:tc>
        <w:tc>
          <w:tcPr>
            <w:tcW w:type="dxa" w:w="1080"/>
          </w:tcPr>
          <w:p>
            <w:r>
              <w:rPr>
                <w:rFonts w:ascii="Calibri" w:hAnsi="Calibri"/>
                <w:b/>
                <w:color w:val="30A46C"/>
                <w:sz w:val="22"/>
              </w:rPr>
              <w:t>+46 bps</w:t>
            </w:r>
          </w:p>
        </w:tc>
        <w:tc>
          <w:tcPr>
            <w:tcW w:type="dxa" w:w="1080"/>
          </w:tcPr>
          <w:p>
            <w:r>
              <w:rPr>
                <w:rFonts w:ascii="Calibri" w:hAnsi="Calibri"/>
                <w:sz w:val="22"/>
              </w:rPr>
              <w:t>&gt;3%</w:t>
            </w:r>
          </w:p>
        </w:tc>
        <w:tc>
          <w:tcPr>
            <w:tcW w:type="dxa" w:w="1080"/>
          </w:tcPr>
          <w:p>
            <w:r>
              <w:rPr>
                <w:rFonts w:ascii="Calibri" w:hAnsi="Calibri"/>
                <w:sz w:val="22"/>
              </w:rPr>
              <w:t>"Solidly above 3%" (June 10 conf.)</w:t>
            </w:r>
          </w:p>
        </w:tc>
        <w:tc>
          <w:tcPr>
            <w:tcW w:type="dxa" w:w="1080"/>
          </w:tcPr>
          <w:p>
            <w:r>
              <w:rPr>
                <w:rFonts w:ascii="Calibri" w:hAnsi="Calibri"/>
                <w:sz w:val="22"/>
              </w:rPr>
              <w:t>↑ Strengthened</w:t>
            </w:r>
          </w:p>
        </w:tc>
        <w:tc>
          <w:tcPr>
            <w:tcW w:type="dxa" w:w="1080"/>
          </w:tcPr>
          <w:p>
            <w:r>
              <w:rPr>
                <w:rFonts w:ascii="Calibri" w:hAnsi="Calibri"/>
                <w:sz w:val="22"/>
              </w:rPr>
              <w:t>+~20 bps above floor</w:t>
            </w:r>
          </w:p>
        </w:tc>
      </w:tr>
      <w:tr>
        <w:tc>
          <w:tcPr>
            <w:tcW w:type="dxa" w:w="1080"/>
          </w:tcPr>
          <w:p>
            <w:r>
              <w:rPr>
                <w:rFonts w:ascii="Calibri" w:hAnsi="Calibri"/>
                <w:sz w:val="22"/>
              </w:rPr>
              <w:t>Organic Growth — FY 2026 (%)</w:t>
            </w:r>
          </w:p>
        </w:tc>
        <w:tc>
          <w:tcPr>
            <w:tcW w:type="dxa" w:w="1080"/>
          </w:tcPr>
          <w:p>
            <w:r>
              <w:rPr>
                <w:rFonts w:ascii="Calibri" w:hAnsi="Calibri"/>
                <w:sz w:val="22"/>
              </w:rPr>
              <w:t>2.68%</w:t>
            </w:r>
          </w:p>
        </w:tc>
        <w:tc>
          <w:tcPr>
            <w:tcW w:type="dxa" w:w="1080"/>
          </w:tcPr>
          <w:p>
            <w:r>
              <w:rPr>
                <w:rFonts w:ascii="Calibri" w:hAnsi="Calibri"/>
                <w:sz w:val="22"/>
              </w:rPr>
              <w:t>2.97%</w:t>
            </w:r>
          </w:p>
        </w:tc>
        <w:tc>
          <w:tcPr>
            <w:tcW w:type="dxa" w:w="1080"/>
          </w:tcPr>
          <w:p>
            <w:r>
              <w:rPr>
                <w:rFonts w:ascii="Calibri" w:hAnsi="Calibri"/>
                <w:b/>
                <w:color w:val="30A46C"/>
                <w:sz w:val="22"/>
              </w:rPr>
              <w:t>+29 bps</w:t>
            </w:r>
          </w:p>
        </w:tc>
        <w:tc>
          <w:tcPr>
            <w:tcW w:type="dxa" w:w="1080"/>
          </w:tcPr>
          <w:p>
            <w:r>
              <w:rPr>
                <w:rFonts w:ascii="Calibri" w:hAnsi="Calibri"/>
                <w:sz w:val="22"/>
              </w:rPr>
              <w:t>~3%</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 with guidance</w:t>
            </w:r>
          </w:p>
        </w:tc>
      </w:tr>
      <w:tr>
        <w:tc>
          <w:tcPr>
            <w:tcW w:type="dxa" w:w="1080"/>
          </w:tcPr>
          <w:p>
            <w:r>
              <w:rPr>
                <w:rFonts w:ascii="Calibri" w:hAnsi="Calibri"/>
                <w:sz w:val="22"/>
              </w:rPr>
              <w:t>Adj. Operating Margin — Q2 2026 (%)</w:t>
            </w:r>
          </w:p>
        </w:tc>
        <w:tc>
          <w:tcPr>
            <w:tcW w:type="dxa" w:w="1080"/>
          </w:tcPr>
          <w:p>
            <w:r>
              <w:rPr>
                <w:rFonts w:ascii="Calibri" w:hAnsi="Calibri"/>
                <w:sz w:val="22"/>
              </w:rPr>
              <w:t>24.57%</w:t>
            </w:r>
          </w:p>
        </w:tc>
        <w:tc>
          <w:tcPr>
            <w:tcW w:type="dxa" w:w="1080"/>
          </w:tcPr>
          <w:p>
            <w:r>
              <w:rPr>
                <w:rFonts w:ascii="Calibri" w:hAnsi="Calibri"/>
                <w:sz w:val="22"/>
              </w:rPr>
              <w:t>24.56%</w:t>
            </w:r>
          </w:p>
        </w:tc>
        <w:tc>
          <w:tcPr>
            <w:tcW w:type="dxa" w:w="1080"/>
          </w:tcPr>
          <w:p>
            <w:r>
              <w:rPr>
                <w:rFonts w:ascii="Calibri" w:hAnsi="Calibri"/>
                <w:sz w:val="22"/>
              </w:rPr>
              <w:t>Flat</w:t>
            </w:r>
          </w:p>
        </w:tc>
        <w:tc>
          <w:tcPr>
            <w:tcW w:type="dxa" w:w="1080"/>
          </w:tcPr>
          <w:p>
            <w:r>
              <w:rPr>
                <w:rFonts w:ascii="Calibri" w:hAnsi="Calibri"/>
                <w:sz w:val="22"/>
              </w:rPr>
              <w:t>~24.5%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+~10 bps above guidance</w:t>
            </w:r>
          </w:p>
        </w:tc>
      </w:tr>
      <w:tr>
        <w:tc>
          <w:tcPr>
            <w:tcW w:type="dxa" w:w="1080"/>
          </w:tcPr>
          <w:p>
            <w:r>
              <w:rPr>
                <w:rFonts w:ascii="Calibri" w:hAnsi="Calibri"/>
                <w:sz w:val="22"/>
              </w:rPr>
              <w:t>Adj. Operating Margin — FY 2026 (%)</w:t>
            </w:r>
          </w:p>
        </w:tc>
        <w:tc>
          <w:tcPr>
            <w:tcW w:type="dxa" w:w="1080"/>
          </w:tcPr>
          <w:p>
            <w:r>
              <w:rPr>
                <w:rFonts w:ascii="Calibri" w:hAnsi="Calibri"/>
                <w:sz w:val="22"/>
              </w:rPr>
              <w:t>24.05%</w:t>
            </w:r>
          </w:p>
        </w:tc>
        <w:tc>
          <w:tcPr>
            <w:tcW w:type="dxa" w:w="1080"/>
          </w:tcPr>
          <w:p>
            <w:r>
              <w:rPr>
                <w:rFonts w:ascii="Calibri" w:hAnsi="Calibri"/>
                <w:sz w:val="22"/>
              </w:rPr>
              <w:t>24.10%</w:t>
            </w:r>
          </w:p>
        </w:tc>
        <w:tc>
          <w:tcPr>
            <w:tcW w:type="dxa" w:w="1080"/>
          </w:tcPr>
          <w:p>
            <w:r>
              <w:rPr>
                <w:rFonts w:ascii="Calibri" w:hAnsi="Calibri"/>
                <w:b/>
                <w:color w:val="30A46C"/>
                <w:sz w:val="22"/>
              </w:rPr>
              <w:t>+5 bps</w:t>
            </w:r>
          </w:p>
        </w:tc>
        <w:tc>
          <w:tcPr>
            <w:tcW w:type="dxa" w:w="1080"/>
          </w:tcPr>
          <w:p>
            <w:r>
              <w:rPr>
                <w:rFonts w:ascii="Calibri" w:hAnsi="Calibri"/>
                <w:sz w:val="22"/>
              </w:rPr>
              <w:t>+70 to +80 bps expansion</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bl>
    <w:p>
      <w:r>
        <w:rPr>
          <w:rFonts w:ascii="Calibri" w:hAnsi="Calibri"/>
          <w:i/>
          <w:color w:val="525866"/>
          <w:sz w:val="22"/>
        </w:rPr>
        <w:t>Source: Visible Alpha Consensus and Actuals Data. Post-Q1 baseline uses consensus as of April 28, 2026 (5 trading days after April 21, 2026 earnings). Current consensus as of July 20, 2026. Guidance from Q1 2026 earnings call (April 21, 2026) and Wells Fargo Industrials &amp; Materials Conference (June 10, 2026).</w:t>
      </w:r>
    </w:p>
    <w:p>
      <w:r>
        <w:rPr>
          <w:rFonts w:ascii="Calibri" w:hAnsi="Calibri"/>
          <w:color w:val="525866"/>
          <w:sz w:val="22"/>
        </w:rPr>
        <w:t>The most notable revision is in organic growth, where Q2 estimates have risen ~46 bps since the post-Q1 baseline, directly tracking management's explicit upgrade at the June conference. EPS revisions are modest (+0.6–0.9%) but directionally positive, and the consensus sitting above the guidance midpoint on FY EPS reflects the market's view that the macro contingency will not be called upon — a view management itself endorsed.</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MMM is roughly flat since the Q1 earnings date (April 21, 2026), underperforming both XLI (+3.9%) and the S&amp;P 500 (+5.4%) over the same period. The underperformance is primarily </w:t>
      </w:r>
      <w:r>
        <w:rPr>
          <w:rFonts w:ascii="Calibri" w:hAnsi="Calibri"/>
          <w:b/>
          <w:color w:val="525866"/>
          <w:sz w:val="22"/>
        </w:rPr>
        <w:t>multiple compression</w:t>
      </w:r>
      <w:r>
        <w:rPr>
          <w:rFonts w:ascii="Calibri" w:hAnsi="Calibri"/>
          <w:color w:val="525866"/>
          <w:sz w:val="22"/>
        </w:rPr>
        <w:t xml:space="preserve"> — NTM EV/EBITDA has contracted from ~13.3x to ~12.0x over 6 months — as the market has not yet rewarded the transformation story with a re-rating, despite improving fundamentals. The stock's relative weakness since last earnings creates a lower bar for a positive reaction if Q2 delivers on the pre-confirmed organic growth acceleration.</w:t>
      </w:r>
    </w:p>
    <w:p>
      <w:r>
        <w:rPr>
          <w:rFonts w:ascii="Calibri" w:hAnsi="Calibri"/>
          <w:b/>
          <w:color w:val="525866"/>
          <w:sz w:val="22"/>
        </w:rPr>
        <w:t>Indexed Performance Since Last Earnings (Base = 100 at April 21, 2026 close):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MMM (Indexed)</w:t>
            </w:r>
          </w:p>
        </w:tc>
        <w:tc>
          <w:tcPr>
            <w:tcW w:type="dxa" w:w="2160"/>
            <w:shd w:val="clear" w:color="auto" w:fill="3B4259"/>
          </w:tcPr>
          <w:p>
            <w:r>
              <w:rPr>
                <w:rFonts w:ascii="Calibri" w:hAnsi="Calibri"/>
                <w:b/>
                <w:color w:val="FFFFFF"/>
                <w:sz w:val="22"/>
              </w:rPr>
              <w:t>XLI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21, 2026 (Last Earnings)</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Apr 30, 2026</w:t>
            </w:r>
          </w:p>
        </w:tc>
        <w:tc>
          <w:tcPr>
            <w:tcW w:type="dxa" w:w="2160"/>
          </w:tcPr>
          <w:p>
            <w:r>
              <w:rPr>
                <w:rFonts w:ascii="Calibri" w:hAnsi="Calibri"/>
                <w:sz w:val="22"/>
              </w:rPr>
              <w:t>98.7</w:t>
            </w:r>
          </w:p>
        </w:tc>
        <w:tc>
          <w:tcPr>
            <w:tcW w:type="dxa" w:w="2160"/>
          </w:tcPr>
          <w:p>
            <w:r>
              <w:rPr>
                <w:rFonts w:ascii="Calibri" w:hAnsi="Calibri"/>
                <w:sz w:val="22"/>
              </w:rPr>
              <w:t>101.8</w:t>
            </w:r>
          </w:p>
        </w:tc>
        <w:tc>
          <w:tcPr>
            <w:tcW w:type="dxa" w:w="2160"/>
          </w:tcPr>
          <w:p>
            <w:r>
              <w:rPr>
                <w:rFonts w:ascii="Calibri" w:hAnsi="Calibri"/>
                <w:sz w:val="22"/>
              </w:rPr>
              <w:t>102.1</w:t>
            </w:r>
          </w:p>
        </w:tc>
      </w:tr>
      <w:tr>
        <w:tc>
          <w:tcPr>
            <w:tcW w:type="dxa" w:w="2160"/>
          </w:tcPr>
          <w:p>
            <w:r>
              <w:rPr>
                <w:rFonts w:ascii="Calibri" w:hAnsi="Calibri"/>
                <w:sz w:val="22"/>
              </w:rPr>
              <w:t>May 18, 2026 (Australia PFAS lawsuit)</w:t>
            </w:r>
          </w:p>
        </w:tc>
        <w:tc>
          <w:tcPr>
            <w:tcW w:type="dxa" w:w="2160"/>
          </w:tcPr>
          <w:p>
            <w:r>
              <w:rPr>
                <w:rFonts w:ascii="Calibri" w:hAnsi="Calibri"/>
                <w:sz w:val="22"/>
              </w:rPr>
              <w:t>102.7</w:t>
            </w:r>
          </w:p>
        </w:tc>
        <w:tc>
          <w:tcPr>
            <w:tcW w:type="dxa" w:w="2160"/>
          </w:tcPr>
          <w:p>
            <w:r>
              <w:rPr>
                <w:rFonts w:ascii="Calibri" w:hAnsi="Calibri"/>
                <w:sz w:val="22"/>
              </w:rPr>
              <w:t>99.6</w:t>
            </w:r>
          </w:p>
        </w:tc>
        <w:tc>
          <w:tcPr>
            <w:tcW w:type="dxa" w:w="2160"/>
          </w:tcPr>
          <w:p>
            <w:r>
              <w:rPr>
                <w:rFonts w:ascii="Calibri" w:hAnsi="Calibri"/>
                <w:sz w:val="22"/>
              </w:rPr>
              <w:t>104.9</w:t>
            </w:r>
          </w:p>
        </w:tc>
      </w:tr>
      <w:tr>
        <w:tc>
          <w:tcPr>
            <w:tcW w:type="dxa" w:w="2160"/>
          </w:tcPr>
          <w:p>
            <w:r>
              <w:rPr>
                <w:rFonts w:ascii="Calibri" w:hAnsi="Calibri"/>
                <w:sz w:val="22"/>
              </w:rPr>
              <w:t>Jun 10, 2026 (Wells Fargo Conference)</w:t>
            </w:r>
          </w:p>
        </w:tc>
        <w:tc>
          <w:tcPr>
            <w:tcW w:type="dxa" w:w="2160"/>
          </w:tcPr>
          <w:p>
            <w:r>
              <w:rPr>
                <w:rFonts w:ascii="Calibri" w:hAnsi="Calibri"/>
                <w:sz w:val="22"/>
              </w:rPr>
              <w:t>105.6</w:t>
            </w:r>
          </w:p>
        </w:tc>
        <w:tc>
          <w:tcPr>
            <w:tcW w:type="dxa" w:w="2160"/>
          </w:tcPr>
          <w:p>
            <w:r>
              <w:rPr>
                <w:rFonts w:ascii="Calibri" w:hAnsi="Calibri"/>
                <w:sz w:val="22"/>
              </w:rPr>
              <w:t>99.0</w:t>
            </w:r>
          </w:p>
        </w:tc>
        <w:tc>
          <w:tcPr>
            <w:tcW w:type="dxa" w:w="2160"/>
          </w:tcPr>
          <w:p>
            <w:r>
              <w:rPr>
                <w:rFonts w:ascii="Calibri" w:hAnsi="Calibri"/>
                <w:sz w:val="22"/>
              </w:rPr>
              <w:t>103.0</w:t>
            </w:r>
          </w:p>
        </w:tc>
      </w:tr>
      <w:tr>
        <w:tc>
          <w:tcPr>
            <w:tcW w:type="dxa" w:w="2160"/>
          </w:tcPr>
          <w:p>
            <w:r>
              <w:rPr>
                <w:rFonts w:ascii="Calibri" w:hAnsi="Calibri"/>
                <w:sz w:val="22"/>
              </w:rPr>
              <w:t>Jun 24, 2026 (Post-conference peak)</w:t>
            </w:r>
          </w:p>
        </w:tc>
        <w:tc>
          <w:tcPr>
            <w:tcW w:type="dxa" w:w="2160"/>
          </w:tcPr>
          <w:p>
            <w:r>
              <w:rPr>
                <w:rFonts w:ascii="Calibri" w:hAnsi="Calibri"/>
                <w:sz w:val="22"/>
              </w:rPr>
              <w:t>111.8</w:t>
            </w:r>
          </w:p>
        </w:tc>
        <w:tc>
          <w:tcPr>
            <w:tcW w:type="dxa" w:w="2160"/>
          </w:tcPr>
          <w:p>
            <w:r>
              <w:rPr>
                <w:rFonts w:ascii="Calibri" w:hAnsi="Calibri"/>
                <w:sz w:val="22"/>
              </w:rPr>
              <w:t>105.1</w:t>
            </w:r>
          </w:p>
        </w:tc>
        <w:tc>
          <w:tcPr>
            <w:tcW w:type="dxa" w:w="2160"/>
          </w:tcPr>
          <w:p>
            <w:r>
              <w:rPr>
                <w:rFonts w:ascii="Calibri" w:hAnsi="Calibri"/>
                <w:sz w:val="22"/>
              </w:rPr>
              <w:t>104.1</w:t>
            </w:r>
          </w:p>
        </w:tc>
      </w:tr>
      <w:tr>
        <w:tc>
          <w:tcPr>
            <w:tcW w:type="dxa" w:w="2160"/>
          </w:tcPr>
          <w:p>
            <w:r>
              <w:rPr>
                <w:rFonts w:ascii="Calibri" w:hAnsi="Calibri"/>
                <w:sz w:val="22"/>
              </w:rPr>
              <w:t>Jul 9, 2026 (NY PFAS lawsuit)</w:t>
            </w:r>
          </w:p>
        </w:tc>
        <w:tc>
          <w:tcPr>
            <w:tcW w:type="dxa" w:w="2160"/>
          </w:tcPr>
          <w:p>
            <w:r>
              <w:rPr>
                <w:rFonts w:ascii="Calibri" w:hAnsi="Calibri"/>
                <w:sz w:val="22"/>
              </w:rPr>
              <w:t>104.6</w:t>
            </w:r>
          </w:p>
        </w:tc>
        <w:tc>
          <w:tcPr>
            <w:tcW w:type="dxa" w:w="2160"/>
          </w:tcPr>
          <w:p>
            <w:r>
              <w:rPr>
                <w:rFonts w:ascii="Calibri" w:hAnsi="Calibri"/>
                <w:sz w:val="22"/>
              </w:rPr>
              <w:t>105.7</w:t>
            </w:r>
          </w:p>
        </w:tc>
        <w:tc>
          <w:tcPr>
            <w:tcW w:type="dxa" w:w="2160"/>
          </w:tcPr>
          <w:p>
            <w:r>
              <w:rPr>
                <w:rFonts w:ascii="Calibri" w:hAnsi="Calibri"/>
                <w:sz w:val="22"/>
              </w:rPr>
              <w:t>106.8</w:t>
            </w:r>
          </w:p>
        </w:tc>
      </w:tr>
      <w:tr>
        <w:tc>
          <w:tcPr>
            <w:tcW w:type="dxa" w:w="2160"/>
          </w:tcPr>
          <w:p>
            <w:r>
              <w:rPr>
                <w:rFonts w:ascii="Calibri" w:hAnsi="Calibri"/>
                <w:sz w:val="22"/>
              </w:rPr>
              <w:t>Jul 21, 2026 (Earnings Day)</w:t>
            </w:r>
          </w:p>
        </w:tc>
        <w:tc>
          <w:tcPr>
            <w:tcW w:type="dxa" w:w="2160"/>
          </w:tcPr>
          <w:p>
            <w:r>
              <w:rPr>
                <w:rFonts w:ascii="Calibri" w:hAnsi="Calibri"/>
                <w:sz w:val="22"/>
              </w:rPr>
              <w:t>107.2</w:t>
            </w:r>
          </w:p>
        </w:tc>
        <w:tc>
          <w:tcPr>
            <w:tcW w:type="dxa" w:w="2160"/>
          </w:tcPr>
          <w:p>
            <w:r>
              <w:rPr>
                <w:rFonts w:ascii="Calibri" w:hAnsi="Calibri"/>
                <w:sz w:val="22"/>
              </w:rPr>
              <w:t>103.9</w:t>
            </w:r>
          </w:p>
        </w:tc>
        <w:tc>
          <w:tcPr>
            <w:tcW w:type="dxa" w:w="2160"/>
          </w:tcPr>
          <w:p>
            <w:r>
              <w:rPr>
                <w:rFonts w:ascii="Calibri" w:hAnsi="Calibri"/>
                <w:sz w:val="22"/>
              </w:rPr>
              <w:t>105.4</w:t>
            </w:r>
          </w:p>
        </w:tc>
      </w:tr>
    </w:tbl>
    <w:p>
      <w:r>
        <w:rPr>
          <w:rFonts w:ascii="Calibri" w:hAnsi="Calibri"/>
          <w:i/>
          <w:color w:val="525866"/>
          <w:sz w:val="22"/>
        </w:rPr>
        <w:t>Source: Yahoo Finance / Stock Price Data. MMM base price: $148.47 (Apr 21, 2026 close). XLI base: $171.44. SPY base: $704.08. Jul 21, 2026 prices: MMM $159.11, XLI $178.12, SPY $742.09.</w:t>
      </w:r>
    </w:p>
    <w:p>
      <w:r>
        <w:rPr>
          <w:rFonts w:ascii="Calibri" w:hAnsi="Calibri"/>
          <w:b/>
          <w:color w:val="525866"/>
          <w:sz w:val="22"/>
        </w:rPr>
        <w:t>Key Events Since Last Earnings:</w:t>
      </w:r>
    </w:p>
    <w:p>
      <w:pPr>
        <w:pStyle w:val="ListBullet"/>
        <w:ind w:left="360" w:hanging="360"/>
      </w:pPr>
      <w:r>
        <w:rPr>
          <w:rFonts w:ascii="Calibri" w:hAnsi="Calibri"/>
          <w:b/>
          <w:color w:val="525866"/>
          <w:sz w:val="22"/>
        </w:rPr>
        <w:t>Apr 21, 2026:</w:t>
      </w:r>
      <w:r>
        <w:rPr>
          <w:rFonts w:ascii="Calibri" w:hAnsi="Calibri"/>
          <w:color w:val="525866"/>
          <w:sz w:val="22"/>
        </w:rPr>
        <w:t xml:space="preserve"> Q1 2026 earnings — EPS beat but organic growth miss; stock -2.0% on the day.</w:t>
      </w:r>
    </w:p>
    <w:p>
      <w:pPr>
        <w:pStyle w:val="ListBullet"/>
        <w:ind w:left="360" w:hanging="360"/>
      </w:pPr>
      <w:r>
        <w:rPr>
          <w:rFonts w:ascii="Calibri" w:hAnsi="Calibri"/>
          <w:b/>
          <w:color w:val="525866"/>
          <w:sz w:val="22"/>
        </w:rPr>
        <w:t>May 28, 2026:</w:t>
      </w:r>
      <w:r>
        <w:rPr>
          <w:rFonts w:ascii="Calibri" w:hAnsi="Calibri"/>
          <w:color w:val="525866"/>
          <w:sz w:val="22"/>
        </w:rPr>
        <w:t xml:space="preserve"> Australia files A$2B (~$1.43B) PFAS lawsuit; stock pulled back modestly.</w:t>
      </w:r>
    </w:p>
    <w:p>
      <w:pPr>
        <w:pStyle w:val="ListBullet"/>
        <w:ind w:left="360" w:hanging="360"/>
      </w:pPr>
      <w:r>
        <w:rPr>
          <w:rFonts w:ascii="Calibri" w:hAnsi="Calibri"/>
          <w:b/>
          <w:color w:val="525866"/>
          <w:sz w:val="22"/>
        </w:rPr>
        <w:t>Jun 10, 2026:</w:t>
      </w:r>
      <w:r>
        <w:rPr>
          <w:rFonts w:ascii="Calibri" w:hAnsi="Calibri"/>
          <w:color w:val="525866"/>
          <w:sz w:val="22"/>
        </w:rPr>
        <w:t xml:space="preserve"> Wells Fargo Industrials Conference — management upgraded Q2 organic growth to "solidly above 3%" and confirmed macro contingency not needed; stock rallied.</w:t>
      </w:r>
    </w:p>
    <w:p>
      <w:pPr>
        <w:pStyle w:val="ListBullet"/>
        <w:ind w:left="360" w:hanging="360"/>
      </w:pPr>
      <w:r>
        <w:rPr>
          <w:rFonts w:ascii="Calibri" w:hAnsi="Calibri"/>
          <w:b/>
          <w:color w:val="525866"/>
          <w:sz w:val="22"/>
        </w:rPr>
        <w:t>Jul 1, 2026:</w:t>
      </w:r>
      <w:r>
        <w:rPr>
          <w:rFonts w:ascii="Calibri" w:hAnsi="Calibri"/>
          <w:color w:val="525866"/>
          <w:sz w:val="22"/>
        </w:rPr>
        <w:t xml:space="preserve"> Madison Fire &amp; Rescue JV closed; 3M received ~$700M cash proceeds.</w:t>
      </w:r>
    </w:p>
    <w:p>
      <w:pPr>
        <w:pStyle w:val="ListBullet"/>
        <w:ind w:left="360" w:hanging="360"/>
      </w:pPr>
      <w:r>
        <w:rPr>
          <w:rFonts w:ascii="Calibri" w:hAnsi="Calibri"/>
          <w:b/>
          <w:color w:val="525866"/>
          <w:sz w:val="22"/>
        </w:rPr>
        <w:t>Jul 9, 2026:</w:t>
      </w:r>
      <w:r>
        <w:rPr>
          <w:rFonts w:ascii="Calibri" w:hAnsi="Calibri"/>
          <w:color w:val="525866"/>
          <w:sz w:val="22"/>
        </w:rPr>
        <w:t xml:space="preserve"> New York AG files PFAS lawsuit; stock dipped.</w:t>
      </w:r>
    </w:p>
    <w:p>
      <w:r>
        <w:rPr>
          <w:rFonts w:ascii="Calibri" w:hAnsi="Calibri"/>
          <w:b/>
          <w:color w:val="525866"/>
          <w:sz w:val="22"/>
        </w:rPr>
        <w:t xml:space="preserve">Valuation Context: </w:t>
      </w:r>
      <w:r>
        <w:rPr>
          <w:rFonts w:ascii="Calibri" w:hAnsi="Calibri"/>
          <w:color w:val="525866"/>
          <w:sz w:val="22"/>
        </w:rPr>
        <w:t>MMM trades at ~17.4x NTM P/E and ~12.0x NTM EV/EBITDA as of July 20, 2026. The NTM EV/EBITDA multiple has compressed from ~13.3x six months ago (-9.7%), meaning the stock's flat performance since last earnings has been driven by earnings growth partially offset by multiple contraction. The market is not yet awarding a transformation premium; a clean Q2 beat with raised guidance could catalyze re-rating.</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management's explicit upgrade of Q2 organic growth guidance to "solidly above 3%" at the June 10 Wells Fargo conference, effectively pre-confirming a beat. The second most important is the escalating PFAS litigation tail — two new major lawsuits (Australia and New York) filed since Q1 — which will likely dominate Q&amp;A and weigh on sentiment regardless of operational results.</w:t>
      </w:r>
    </w:p>
    <w:p>
      <w:pPr>
        <w:pStyle w:val="ListBullet"/>
        <w:ind w:left="360" w:hanging="360"/>
      </w:pPr>
      <w:r>
        <w:rPr>
          <w:rFonts w:ascii="Calibri" w:hAnsi="Calibri"/>
          <w:b/>
          <w:color w:val="525866"/>
          <w:sz w:val="22"/>
        </w:rPr>
        <w:t>Jun 10, 2026 — Wells Fargo Conference (most important):</w:t>
      </w:r>
      <w:r>
        <w:rPr>
          <w:rFonts w:ascii="Calibri" w:hAnsi="Calibri"/>
          <w:color w:val="525866"/>
          <w:sz w:val="22"/>
        </w:rPr>
        <w:t xml:space="preserve"> CEO Brown upgraded Q2 organic growth to "solidly above 3%" (vs. prior guidance of "&gt;3%"), confirmed orders and backlog continued to build through June, walked back the pre-buy characterization from Q1, and stated the $0.05–$0.15 macro contingency is not expected to be needed. EBO TAM revised from &gt;$1B to &gt;$2B within 90 days of Q1 earnings; capacity expansion now viewed as potentially insufficient. </w:t>
      </w:r>
    </w:p>
    <w:p>
      <w:pPr>
        <w:pStyle w:val="ListBullet"/>
        <w:ind w:left="360" w:hanging="360"/>
      </w:pPr>
      <w:r>
        <w:rPr>
          <w:rFonts w:ascii="Calibri" w:hAnsi="Calibri"/>
          <w:b/>
          <w:color w:val="525866"/>
          <w:sz w:val="22"/>
        </w:rPr>
        <w:t>Jul 1, 2026 — Madison Fire &amp; Rescue JV Closed:</w:t>
      </w:r>
      <w:r>
        <w:rPr>
          <w:rFonts w:ascii="Calibri" w:hAnsi="Calibri"/>
          <w:color w:val="525866"/>
          <w:sz w:val="22"/>
        </w:rPr>
        <w:t xml:space="preserve"> The Scott Safety / Madison Fire &amp; Rescue joint venture (3M 51%, Bain Capital 49%) closed on July 1, 2026 (announced earlier in 2026). 3M received ~$700M in cash proceeds. The combined ~$800M revenue business will be reported as a separate division within Safety &amp; Industrial starting Q3 2026, providing new segment visibility. Margins above 3M company average; management sees cross-sell and international expansion as upside drivers.</w:t>
      </w:r>
    </w:p>
    <w:p>
      <w:pPr>
        <w:pStyle w:val="ListBullet"/>
        <w:ind w:left="360" w:hanging="360"/>
      </w:pPr>
      <w:r>
        <w:rPr>
          <w:rFonts w:ascii="Calibri" w:hAnsi="Calibri"/>
          <w:b/>
          <w:color w:val="525866"/>
          <w:sz w:val="22"/>
        </w:rPr>
        <w:t>May 28, 2026 — Australia PFAS Lawsuit Filed:</w:t>
      </w:r>
      <w:r>
        <w:rPr>
          <w:rFonts w:ascii="Calibri" w:hAnsi="Calibri"/>
          <w:color w:val="525866"/>
          <w:sz w:val="22"/>
        </w:rPr>
        <w:t xml:space="preserve"> The Australian government filed suit against 3M and its Australian unit seeking A$2B (~$1.43B USD) in damages related to PFAS contamination from firefighting foam at defense bases. 3M denied manufacturing PFAS in Australia and stated it would defend itself. </w:t>
      </w:r>
    </w:p>
    <w:p>
      <w:pPr>
        <w:pStyle w:val="ListBullet"/>
        <w:ind w:left="360" w:hanging="360"/>
      </w:pPr>
      <w:r>
        <w:rPr>
          <w:rFonts w:ascii="Calibri" w:hAnsi="Calibri"/>
          <w:b/>
          <w:color w:val="525866"/>
          <w:sz w:val="22"/>
        </w:rPr>
        <w:t>Jul 9, 2026 — New York PFAS Lawsuit Filed:</w:t>
      </w:r>
      <w:r>
        <w:rPr>
          <w:rFonts w:ascii="Calibri" w:hAnsi="Calibri"/>
          <w:color w:val="525866"/>
          <w:sz w:val="22"/>
        </w:rPr>
        <w:t xml:space="preserve"> New York Attorney General Letitia James sued 3M, DuPont, Chemours, Corteva, and EIDP for causing a public nuisance by selling "forever chemicals" in consumer products, alleging the companies hid health and environmental risks for decades. This is a state-level consumer products PFAS action, distinct from prior water/firefighting foam settlements. </w:t>
      </w:r>
    </w:p>
    <w:p>
      <w:pPr>
        <w:pStyle w:val="ListBullet"/>
        <w:ind w:left="360" w:hanging="360"/>
      </w:pPr>
      <w:r>
        <w:rPr>
          <w:rFonts w:ascii="Calibri" w:hAnsi="Calibri"/>
          <w:b/>
          <w:color w:val="525866"/>
          <w:sz w:val="22"/>
        </w:rPr>
        <w:t>Q1 2026 (Apr 21) — Precision Grinding &amp; Finishing (PGF) Divestiture Completed:</w:t>
      </w:r>
      <w:r>
        <w:rPr>
          <w:rFonts w:ascii="Calibri" w:hAnsi="Calibri"/>
          <w:color w:val="525866"/>
          <w:sz w:val="22"/>
        </w:rPr>
        <w:t xml:space="preserve"> Sale of PGF business removed 7 factories, bringing total manufacturing site count to ~100 with a target to go below 100. Proceeds and footprint reduction support the transformation narrative.</w:t>
      </w:r>
    </w:p>
    <w:p>
      <w:pPr>
        <w:pStyle w:val="ListBullet"/>
        <w:ind w:left="360" w:hanging="360"/>
      </w:pPr>
      <w:r>
        <w:rPr>
          <w:rFonts w:ascii="Calibri" w:hAnsi="Calibri"/>
          <w:b/>
          <w:color w:val="525866"/>
          <w:sz w:val="22"/>
        </w:rPr>
        <w:t>Q1 2026 (Apr 21) — $2B Share Repurchase Completed:</w:t>
      </w:r>
      <w:r>
        <w:rPr>
          <w:rFonts w:ascii="Calibri" w:hAnsi="Calibri"/>
          <w:color w:val="525866"/>
          <w:sz w:val="22"/>
        </w:rPr>
        <w:t xml:space="preserve"> 3M repurchased $2B of shares in Q1 2026, providing meaningful EPS accretion through the year. Total shareholder returns in Q1 were $2.4B including $400M in dividends (7% per-share increase).</w:t>
      </w:r>
    </w:p>
    <w:p>
      <w:pPr>
        <w:pStyle w:val="ListBullet"/>
        <w:ind w:left="360" w:hanging="360"/>
      </w:pPr>
      <w:r>
        <w:rPr>
          <w:rFonts w:ascii="Calibri" w:hAnsi="Calibri"/>
          <w:b/>
          <w:color w:val="525866"/>
          <w:sz w:val="22"/>
        </w:rPr>
        <w:t>Q1 2026 — Automation Investment Announced:</w:t>
      </w:r>
      <w:r>
        <w:rPr>
          <w:rFonts w:ascii="Calibri" w:hAnsi="Calibri"/>
          <w:color w:val="525866"/>
          <w:sz w:val="22"/>
        </w:rPr>
        <w:t xml:space="preserve"> 3M announced &gt;$250M investment over 3 years in standardized automation across plants and distribution centers, supporting the operational excellence and footprint consolidation agenda.</w:t>
      </w:r>
    </w:p>
    <w:p>
      <w:pPr>
        <w:pStyle w:val="ListBullet"/>
        <w:ind w:left="360" w:hanging="360"/>
      </w:pPr>
      <w:r>
        <w:rPr>
          <w:rFonts w:ascii="Calibri" w:hAnsi="Calibri"/>
          <w:b/>
          <w:color w:val="525866"/>
          <w:sz w:val="22"/>
        </w:rPr>
        <w:t>Jul 20, 2026 — Canada Tariff Threat (Macro):</w:t>
      </w:r>
      <w:r>
        <w:rPr>
          <w:rFonts w:ascii="Calibri" w:hAnsi="Calibri"/>
          <w:color w:val="525866"/>
          <w:sz w:val="22"/>
        </w:rPr>
        <w:t xml:space="preserve"> President Trump announced potential 50% tariffs on most Canadian goods effective in 30 days. 3M has Canadian manufacturing exposure; management's existing tariff contingency framework may need to be revisited if tariffs escalate. </w:t>
      </w:r>
    </w:p>
    <w:p>
      <w:pPr>
        <w:pStyle w:val="ListBullet"/>
        <w:ind w:left="360" w:hanging="360"/>
      </w:pPr>
      <w:r>
        <w:rPr>
          <w:rFonts w:ascii="Calibri" w:hAnsi="Calibri"/>
          <w:b/>
          <w:color w:val="525866"/>
          <w:sz w:val="22"/>
        </w:rPr>
        <w:t>Jul 7, 2026 — RBC Global Analyst Survey:</w:t>
      </w:r>
      <w:r>
        <w:rPr>
          <w:rFonts w:ascii="Calibri" w:hAnsi="Calibri"/>
          <w:color w:val="525866"/>
          <w:sz w:val="22"/>
        </w:rPr>
        <w:t xml:space="preserve"> RBC Capital Markets' June survey found materials and industrials performance outlooks were among the strongest sectors, providing a constructive macro read-through for 3M's industrial end markets.</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No open-market insider purchases or discretionary sales were identified for MMM in the period since the Q1 2026 earnings call (April 21, 2026) through July 20, 2026. The absence of insider buying is not a negative signal given the transformation narrative is well-established; the absence of discretionary selling is modestly constructive. No 10b5-1 plan initiations or Form 144 filings were identified for MMM in this window.</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No reportable open-market transactions identified for MMM in the Apr 21 – Jul 20, 2026 window.</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No Form 4 open-market buys (code P) or discretionary sells (code S) found in SEC filings database for this period.</w:t>
            </w:r>
          </w:p>
        </w:tc>
      </w:tr>
    </w:tbl>
    <w:p>
      <w:r>
        <w:br w:type="page"/>
      </w:r>
    </w:p>
    <w:p>
      <w:pPr>
        <w:pStyle w:val="Heading2"/>
      </w:pPr>
      <w:r>
        <w:rPr>
          <w:rFonts w:ascii="Calibri" w:hAnsi="Calibri"/>
          <w:b/>
          <w:color w:val="3B4259"/>
          <w:sz w:val="28"/>
        </w:rPr>
        <w:t>8. Peer Commentary &amp; Read-Throughs</w:t>
      </w:r>
    </w:p>
    <w:p>
      <w:r>
        <w:rPr>
          <w:rFonts w:ascii="Calibri" w:hAnsi="Calibri"/>
          <w:b/>
          <w:color w:val="525866"/>
          <w:sz w:val="22"/>
        </w:rPr>
        <w:t xml:space="preserve">Key Takeaway: </w:t>
      </w:r>
      <w:r>
        <w:rPr>
          <w:rFonts w:ascii="Calibri" w:hAnsi="Calibri"/>
          <w:color w:val="525866"/>
          <w:sz w:val="22"/>
        </w:rPr>
        <w:t>Peer commentary from the last 60 days is broadly constructive for MMM's Q2 setup. Rockwell Automation and Honeywell both reported strong industrial demand, raised full-year guidance, and confirmed robust order trends — all positive read-throughs for 3M's Safety &amp; Industrial and Transportation &amp; Electronics segments. The semiconductor and data center end markets are the standout positives across all peers. The only cautionary note is Pentair's pool-segment inventory destocking, which has limited read-through to MMM's Consumer segment.</w:t>
      </w:r>
    </w:p>
    <w:p>
      <w:r>
        <w:rPr>
          <w:rFonts w:ascii="Calibri" w:hAnsi="Calibri"/>
          <w:i/>
          <w:color w:val="525866"/>
          <w:sz w:val="22"/>
        </w:rPr>
        <w:t>Note: Only commentary issued May 21 – July 20, 2026 that discusses the then-current Q2 2026 reporting quarter or forward outlook is included below. Retrospective prior-quarter commentary is excluded.</w:t>
      </w:r>
    </w:p>
    <w:p>
      <w:pPr>
        <w:pStyle w:val="Heading3"/>
      </w:pPr>
      <w:r>
        <w:rPr>
          <w:rFonts w:ascii="Calibri" w:hAnsi="Calibri"/>
          <w:b/>
          <w:color w:val="3B4259"/>
          <w:sz w:val="24"/>
        </w:rPr>
        <w:t>Rockwell Automation (ROK) — Baird Conference (Jun 2, 2026) &amp; Wells Fargo Conference (Jun 11, 2026)</w:t>
      </w:r>
    </w:p>
    <w:p>
      <w:r>
        <w:rPr>
          <w:rFonts w:ascii="Calibri" w:hAnsi="Calibri"/>
          <w:b/>
          <w:color w:val="525866"/>
          <w:sz w:val="22"/>
        </w:rPr>
        <w:t xml:space="preserve">Relevance to MMM: </w:t>
      </w:r>
      <w:r>
        <w:rPr>
          <w:rFonts w:ascii="Calibri" w:hAnsi="Calibri"/>
          <w:color w:val="525866"/>
          <w:sz w:val="22"/>
        </w:rPr>
        <w:t>High — ROK is the largest pure-play industrial automation company; its end-market commentary directly maps to MMM's Safety &amp; Industrial and Transportation &amp; Electronics segments.</w:t>
      </w:r>
    </w:p>
    <w:p>
      <w:pPr>
        <w:pStyle w:val="ListBullet"/>
        <w:ind w:left="360" w:hanging="360"/>
      </w:pPr>
      <w:r>
        <w:rPr>
          <w:rFonts w:ascii="Calibri" w:hAnsi="Calibri"/>
          <w:b/>
          <w:color w:val="525866"/>
          <w:sz w:val="22"/>
        </w:rPr>
        <w:t>Industrial demand broadening in Q2:</w:t>
      </w:r>
      <w:r>
        <w:rPr>
          <w:rFonts w:ascii="Calibri" w:hAnsi="Calibri"/>
          <w:color w:val="525866"/>
          <w:sz w:val="22"/>
        </w:rPr>
        <w:t xml:space="preserve"> ROK reported "good growth across many industries" in Q2, with demand broadening beyond the initial data center / semiconductor cluster. Semiconductor, data center, e-commerce/warehouse automation, and energy were the standout outperformers. </w:t>
      </w:r>
    </w:p>
    <w:p>
      <w:pPr>
        <w:pStyle w:val="ListBullet"/>
        <w:ind w:left="360" w:hanging="360"/>
      </w:pPr>
      <w:r>
        <w:rPr>
          <w:rFonts w:ascii="Calibri" w:hAnsi="Calibri"/>
          <w:b/>
          <w:color w:val="525866"/>
          <w:sz w:val="22"/>
        </w:rPr>
        <w:t>Semiconductor raised:</w:t>
      </w:r>
      <w:r>
        <w:rPr>
          <w:rFonts w:ascii="Calibri" w:hAnsi="Calibri"/>
          <w:color w:val="525866"/>
          <w:sz w:val="22"/>
        </w:rPr>
        <w:t xml:space="preserve"> ROK explicitly raised its full-year semiconductor outlook, citing both legacy fab activity and AI-related data center investments. This is a direct positive read-through for MMM's T&amp;E segment, which has significant semiconductor materials exposure.</w:t>
      </w:r>
    </w:p>
    <w:p>
      <w:pPr>
        <w:pStyle w:val="ListBullet"/>
        <w:ind w:left="360" w:hanging="360"/>
      </w:pPr>
      <w:r>
        <w:rPr>
          <w:rFonts w:ascii="Calibri" w:hAnsi="Calibri"/>
          <w:b/>
          <w:color w:val="525866"/>
          <w:sz w:val="22"/>
        </w:rPr>
        <w:t>Data center durable:</w:t>
      </w:r>
      <w:r>
        <w:rPr>
          <w:rFonts w:ascii="Calibri" w:hAnsi="Calibri"/>
          <w:color w:val="525866"/>
          <w:sz w:val="22"/>
        </w:rPr>
        <w:t xml:space="preserve"> ROK's data center revenue (low single-digit % of total) is projected to reach ~5% "in the not too distant future," with management describing demand as "continued durable." Directly supports MMM's EBO / optical interconnect growth narrative.</w:t>
      </w:r>
    </w:p>
    <w:p>
      <w:pPr>
        <w:pStyle w:val="ListBullet"/>
        <w:ind w:left="360" w:hanging="360"/>
      </w:pPr>
      <w:r>
        <w:rPr>
          <w:rFonts w:ascii="Calibri" w:hAnsi="Calibri"/>
          <w:b/>
          <w:color w:val="525866"/>
          <w:sz w:val="22"/>
        </w:rPr>
        <w:t>No pre-buy in orders:</w:t>
      </w:r>
      <w:r>
        <w:rPr>
          <w:rFonts w:ascii="Calibri" w:hAnsi="Calibri"/>
          <w:color w:val="525866"/>
          <w:sz w:val="22"/>
        </w:rPr>
        <w:t xml:space="preserve"> ROK's surveys of customers showed "no indications that pre-buys are any meaningful contribution to results" — a key read-through validating MMM management's June conference walk-back of the pre-buy characterization.</w:t>
      </w:r>
    </w:p>
    <w:p>
      <w:pPr>
        <w:pStyle w:val="ListBullet"/>
        <w:ind w:left="360" w:hanging="360"/>
      </w:pPr>
      <w:r>
        <w:rPr>
          <w:rFonts w:ascii="Calibri" w:hAnsi="Calibri"/>
          <w:b/>
          <w:color w:val="525866"/>
          <w:sz w:val="22"/>
        </w:rPr>
        <w:t>Pricing power confirmed:</w:t>
      </w:r>
      <w:r>
        <w:rPr>
          <w:rFonts w:ascii="Calibri" w:hAnsi="Calibri"/>
          <w:color w:val="525866"/>
          <w:sz w:val="22"/>
        </w:rPr>
        <w:t xml:space="preserve"> ROK guiding 250 bps of price for FY2026 (150 bps underlying + 100 bps tariff-related), demonstrating that industrial companies can implement and sustain price increases. Positive read-through for MMM's 130 bps pricing target.</w:t>
      </w:r>
    </w:p>
    <w:p>
      <w:pPr>
        <w:pStyle w:val="ListBullet"/>
        <w:ind w:left="360" w:hanging="360"/>
      </w:pPr>
      <w:r>
        <w:rPr>
          <w:rFonts w:ascii="Calibri" w:hAnsi="Calibri"/>
          <w:b/>
          <w:color w:val="525866"/>
          <w:sz w:val="22"/>
        </w:rPr>
        <w:t>Full-year guidance raised to 7%:</w:t>
      </w:r>
      <w:r>
        <w:rPr>
          <w:rFonts w:ascii="Calibri" w:hAnsi="Calibri"/>
          <w:color w:val="525866"/>
          <w:sz w:val="22"/>
        </w:rPr>
        <w:t xml:space="preserve"> ROK raised its full-year organic growth guide to 7% at the midpoint, with Software &amp; Control expected to grow low double digits. Broad-based industrial demand acceleration is a constructive backdrop for MMM.</w:t>
      </w:r>
    </w:p>
    <w:p>
      <w:pPr>
        <w:pStyle w:val="ListBullet"/>
        <w:ind w:left="360" w:hanging="360"/>
      </w:pPr>
      <w:r>
        <w:rPr>
          <w:rFonts w:ascii="Calibri" w:hAnsi="Calibri"/>
          <w:b/>
          <w:color w:val="525866"/>
          <w:sz w:val="22"/>
        </w:rPr>
        <w:t>Caution — food &amp; beverage / auto CapEx:</w:t>
      </w:r>
      <w:r>
        <w:rPr>
          <w:rFonts w:ascii="Calibri" w:hAnsi="Calibri"/>
          <w:color w:val="525866"/>
          <w:sz w:val="22"/>
        </w:rPr>
        <w:t xml:space="preserve"> ROK does not count on larger CapEx activity in food &amp; beverage (20% of ROK revenue) or automotive (10%) for the rest of the fiscal year. These are also end markets for MMM's Consumer and T&amp;E segments; limited read-through risk.</w:t>
      </w:r>
    </w:p>
    <w:p>
      <w:pPr>
        <w:pStyle w:val="Heading3"/>
      </w:pPr>
      <w:r>
        <w:rPr>
          <w:rFonts w:ascii="Calibri" w:hAnsi="Calibri"/>
          <w:b/>
          <w:color w:val="3B4259"/>
          <w:sz w:val="24"/>
        </w:rPr>
        <w:t>Honeywell (HON) — Guidance Update Call (Jun 8, 2026)</w:t>
      </w:r>
    </w:p>
    <w:p>
      <w:r>
        <w:rPr>
          <w:rFonts w:ascii="Calibri" w:hAnsi="Calibri"/>
          <w:b/>
          <w:color w:val="525866"/>
          <w:sz w:val="22"/>
        </w:rPr>
        <w:t xml:space="preserve">Relevance to MMM: </w:t>
      </w:r>
      <w:r>
        <w:rPr>
          <w:rFonts w:ascii="Calibri" w:hAnsi="Calibri"/>
          <w:color w:val="525866"/>
          <w:sz w:val="22"/>
        </w:rPr>
        <w:t>High — Honeywell is the closest large-cap diversified industrial peer; its building, process, and industrial automation commentary maps directly to MMM's Safety &amp; Industrial segment.</w:t>
      </w:r>
    </w:p>
    <w:p>
      <w:pPr>
        <w:pStyle w:val="ListBullet"/>
        <w:ind w:left="360" w:hanging="360"/>
      </w:pPr>
      <w:r>
        <w:rPr>
          <w:rFonts w:ascii="Calibri" w:hAnsi="Calibri"/>
          <w:b/>
          <w:color w:val="525866"/>
          <w:sz w:val="22"/>
        </w:rPr>
        <w:t>Q2 on track:</w:t>
      </w:r>
      <w:r>
        <w:rPr>
          <w:rFonts w:ascii="Calibri" w:hAnsi="Calibri"/>
          <w:color w:val="525866"/>
          <w:sz w:val="22"/>
        </w:rPr>
        <w:t xml:space="preserve"> HON stated "the second quarter remains on track" and that "everything indicates that the quarter is going to be good, but it's within our guide." Constructive read-through for industrial sector Q2 execution.</w:t>
      </w:r>
    </w:p>
    <w:p>
      <w:pPr>
        <w:pStyle w:val="ListBullet"/>
        <w:ind w:left="360" w:hanging="360"/>
      </w:pPr>
      <w:r>
        <w:rPr>
          <w:rFonts w:ascii="Calibri" w:hAnsi="Calibri"/>
          <w:b/>
          <w:color w:val="525866"/>
          <w:sz w:val="22"/>
        </w:rPr>
        <w:t>Orders strongest in 6 years:</w:t>
      </w:r>
      <w:r>
        <w:rPr>
          <w:rFonts w:ascii="Calibri" w:hAnsi="Calibri"/>
          <w:color w:val="525866"/>
          <w:sz w:val="22"/>
        </w:rPr>
        <w:t xml:space="preserve"> Building Automation orders in Q2 were described as the strongest HON management had seen in 6 years, "closer to double digits." Overall orders through May were "high single digits, potentially double digits for the quarter." Strongly positive read-through for MMM's Safety &amp; Industrial order trends.</w:t>
      </w:r>
    </w:p>
    <w:p>
      <w:pPr>
        <w:pStyle w:val="ListBullet"/>
        <w:ind w:left="360" w:hanging="360"/>
      </w:pPr>
      <w:r>
        <w:rPr>
          <w:rFonts w:ascii="Calibri" w:hAnsi="Calibri"/>
          <w:b/>
          <w:color w:val="525866"/>
          <w:sz w:val="22"/>
        </w:rPr>
        <w:t>Industrial Automation short-cycle recovery confirmed:</w:t>
      </w:r>
      <w:r>
        <w:rPr>
          <w:rFonts w:ascii="Calibri" w:hAnsi="Calibri"/>
          <w:color w:val="525866"/>
          <w:sz w:val="22"/>
        </w:rPr>
        <w:t xml:space="preserve"> HON raised its full-year IA outlook from "down low single digits" to "flat," driven by short-cycle recovery in Europe and Asia. Reshoring activity also cited as a tailwind. Positive for MMM's industrial end markets.</w:t>
      </w:r>
    </w:p>
    <w:p>
      <w:pPr>
        <w:pStyle w:val="ListBullet"/>
        <w:ind w:left="360" w:hanging="360"/>
      </w:pPr>
      <w:r>
        <w:rPr>
          <w:rFonts w:ascii="Calibri" w:hAnsi="Calibri"/>
          <w:b/>
          <w:color w:val="525866"/>
          <w:sz w:val="22"/>
        </w:rPr>
        <w:t>Pricing power at ~4% in Q2:</w:t>
      </w:r>
      <w:r>
        <w:rPr>
          <w:rFonts w:ascii="Calibri" w:hAnsi="Calibri"/>
          <w:color w:val="525866"/>
          <w:sz w:val="22"/>
        </w:rPr>
        <w:t xml:space="preserve"> HON expects to finish Q2 at ~4% pricing, with H2 in the 3.5–4.5% range, "more than offsetting rising inflation." Confirms industrial pricing environment remains supportive.</w:t>
      </w:r>
    </w:p>
    <w:p>
      <w:pPr>
        <w:pStyle w:val="ListBullet"/>
        <w:ind w:left="360" w:hanging="360"/>
      </w:pPr>
      <w:r>
        <w:rPr>
          <w:rFonts w:ascii="Calibri" w:hAnsi="Calibri"/>
          <w:b/>
          <w:color w:val="525866"/>
          <w:sz w:val="22"/>
        </w:rPr>
        <w:t>Middle East impact manageable:</w:t>
      </w:r>
      <w:r>
        <w:rPr>
          <w:rFonts w:ascii="Calibri" w:hAnsi="Calibri"/>
          <w:color w:val="525866"/>
          <w:sz w:val="22"/>
        </w:rPr>
        <w:t xml:space="preserve"> HON quantified ~$50–75M of Q2 revenue impact from the Middle East conflict, but expressed "very high level of conviction" that H2 will see no significant pressure and potentially incremental demand from reconstruction. Relevant to MMM's macro contingency framework.</w:t>
      </w:r>
    </w:p>
    <w:p>
      <w:pPr>
        <w:pStyle w:val="ListBullet"/>
        <w:ind w:left="360" w:hanging="360"/>
      </w:pPr>
      <w:r>
        <w:rPr>
          <w:rFonts w:ascii="Calibri" w:hAnsi="Calibri"/>
          <w:b/>
          <w:color w:val="525866"/>
          <w:sz w:val="22"/>
        </w:rPr>
        <w:t>Full-year guidance reaffirmed:</w:t>
      </w:r>
      <w:r>
        <w:rPr>
          <w:rFonts w:ascii="Calibri" w:hAnsi="Calibri"/>
          <w:color w:val="525866"/>
          <w:sz w:val="22"/>
        </w:rPr>
        <w:t xml:space="preserve"> HON Technologies guided 2%–3% organic growth for FY2026 with 3%–5% in H2, and segment margin expansion of 220–270 bps. Consistent with a healthy industrial operating environment.</w:t>
      </w:r>
    </w:p>
    <w:p>
      <w:pPr>
        <w:pStyle w:val="Heading3"/>
      </w:pPr>
      <w:r>
        <w:rPr>
          <w:rFonts w:ascii="Calibri" w:hAnsi="Calibri"/>
          <w:b/>
          <w:color w:val="3B4259"/>
          <w:sz w:val="24"/>
        </w:rPr>
        <w:t>GE Aerospace (GE) — Q2 2026 Earnings (Jul 16, 2026)</w:t>
      </w:r>
    </w:p>
    <w:p>
      <w:r>
        <w:rPr>
          <w:rFonts w:ascii="Calibri" w:hAnsi="Calibri"/>
          <w:b/>
          <w:color w:val="525866"/>
          <w:sz w:val="22"/>
        </w:rPr>
        <w:t xml:space="preserve">Relevance to MMM: </w:t>
      </w:r>
      <w:r>
        <w:rPr>
          <w:rFonts w:ascii="Calibri" w:hAnsi="Calibri"/>
          <w:color w:val="525866"/>
          <w:sz w:val="22"/>
        </w:rPr>
        <w:t>Moderate — GE Aerospace's aerospace aftermarket and engine demand commentary is a read-through for MMM's aerospace-exposed materials and components within T&amp;E.</w:t>
      </w:r>
    </w:p>
    <w:p>
      <w:pPr>
        <w:pStyle w:val="ListBullet"/>
        <w:ind w:left="360" w:hanging="360"/>
      </w:pPr>
      <w:r>
        <w:rPr>
          <w:rFonts w:ascii="Calibri" w:hAnsi="Calibri"/>
          <w:b/>
          <w:color w:val="525866"/>
          <w:sz w:val="22"/>
        </w:rPr>
        <w:t>Strong Q2 beat and raised guidance:</w:t>
      </w:r>
      <w:r>
        <w:rPr>
          <w:rFonts w:ascii="Calibri" w:hAnsi="Calibri"/>
          <w:color w:val="525866"/>
          <w:sz w:val="22"/>
        </w:rPr>
        <w:t xml:space="preserve"> GE Aerospace reported Q2 adj. EPS of $2.02 vs. consensus $1.86 (+8.6% beat), with revenue up 24% adjusted to $12.6B vs. $11.8B expected. Full-year EPS guidance raised to $7.75 from $7.25. Bookings jumped 17% to $16.5B and FCF reached ~$3B, up 43% YoY. Positive read-through for aerospace end-market demand benefiting MMM's T&amp;E segment.</w:t>
      </w:r>
    </w:p>
    <w:p>
      <w:pPr>
        <w:pStyle w:val="ListBullet"/>
        <w:ind w:left="360" w:hanging="360"/>
      </w:pPr>
      <w:r>
        <w:rPr>
          <w:rFonts w:ascii="Calibri" w:hAnsi="Calibri"/>
          <w:b/>
          <w:color w:val="525866"/>
          <w:sz w:val="22"/>
        </w:rPr>
        <w:t>Aerospace demand robust:</w:t>
      </w:r>
      <w:r>
        <w:rPr>
          <w:rFonts w:ascii="Calibri" w:hAnsi="Calibri"/>
          <w:color w:val="525866"/>
          <w:sz w:val="22"/>
        </w:rPr>
        <w:t xml:space="preserve"> GE CEO Larry Culp reported continued robust demand in aviation, with significant growth in spare parts orders and engine deliveries. Airlines maintaining engine upkeep despite higher fuel prices. Positive for MMM's aerospace materials and abrasives.</w:t>
      </w:r>
    </w:p>
    <w:p>
      <w:pPr>
        <w:pStyle w:val="ListBullet"/>
        <w:ind w:left="360" w:hanging="360"/>
      </w:pPr>
      <w:r>
        <w:rPr>
          <w:rFonts w:ascii="Calibri" w:hAnsi="Calibri"/>
          <w:b/>
          <w:color w:val="525866"/>
          <w:sz w:val="22"/>
        </w:rPr>
        <w:t>Supply chain improving:</w:t>
      </w:r>
      <w:r>
        <w:rPr>
          <w:rFonts w:ascii="Calibri" w:hAnsi="Calibri"/>
          <w:color w:val="525866"/>
          <w:sz w:val="22"/>
        </w:rPr>
        <w:t xml:space="preserve"> GE confirmed Boeing has months of engine supply for 787 production ramp, signaling improving aerospace supply chain conditions. Positive for MMM's aerospace-adjacent businesses.</w:t>
      </w:r>
    </w:p>
    <w:p>
      <w:pPr>
        <w:pStyle w:val="Heading3"/>
      </w:pPr>
      <w:r>
        <w:rPr>
          <w:rFonts w:ascii="Calibri" w:hAnsi="Calibri"/>
          <w:b/>
          <w:color w:val="3B4259"/>
          <w:sz w:val="24"/>
        </w:rPr>
        <w:t>Cintas (CTAS) — Q4 FY2026 Earnings (Jul 15, 2026)</w:t>
      </w:r>
    </w:p>
    <w:p>
      <w:r>
        <w:rPr>
          <w:rFonts w:ascii="Calibri" w:hAnsi="Calibri"/>
          <w:b/>
          <w:color w:val="525866"/>
          <w:sz w:val="22"/>
        </w:rPr>
        <w:t xml:space="preserve">Relevance to MMM: </w:t>
      </w:r>
      <w:r>
        <w:rPr>
          <w:rFonts w:ascii="Calibri" w:hAnsi="Calibri"/>
          <w:color w:val="525866"/>
          <w:sz w:val="22"/>
        </w:rPr>
        <w:t>Moderate — Cintas serves similar industrial and commercial end markets; its uniform/workwear demand is a proxy for industrial employment and activity levels.</w:t>
      </w:r>
    </w:p>
    <w:p>
      <w:pPr>
        <w:pStyle w:val="ListBullet"/>
        <w:ind w:left="360" w:hanging="360"/>
      </w:pPr>
      <w:r>
        <w:rPr>
          <w:rFonts w:ascii="Calibri" w:hAnsi="Calibri"/>
          <w:b/>
          <w:color w:val="525866"/>
          <w:sz w:val="22"/>
        </w:rPr>
        <w:t>Strong beat and raised guidance:</w:t>
      </w:r>
      <w:r>
        <w:rPr>
          <w:rFonts w:ascii="Calibri" w:hAnsi="Calibri"/>
          <w:color w:val="525866"/>
          <w:sz w:val="22"/>
        </w:rPr>
        <w:t xml:space="preserve"> CTAS Q4 revenue +8.9% YoY to $2.91B, adj. EPS $1.29 (+18.3% YoY, beat by $0.05). FY2027 revenue guidance of $12.10–$12.25B exceeded consensus of $12.07B. Organic revenue growth of 8.3% for the full year. Confirms healthy industrial employment and commercial activity — a positive read-through for MMM's Safety &amp; Industrial end markets.</w:t>
      </w:r>
    </w:p>
    <w:p>
      <w:pPr>
        <w:pStyle w:val="Heading3"/>
      </w:pPr>
      <w:r>
        <w:rPr>
          <w:rFonts w:ascii="Calibri" w:hAnsi="Calibri"/>
          <w:b/>
          <w:color w:val="3B4259"/>
          <w:sz w:val="24"/>
        </w:rPr>
        <w:t>Pentair (PNR) — Negative Pre-Announcement (Jul 14–15, 2026)</w:t>
      </w:r>
    </w:p>
    <w:p>
      <w:r>
        <w:rPr>
          <w:rFonts w:ascii="Calibri" w:hAnsi="Calibri"/>
          <w:b/>
          <w:color w:val="525866"/>
          <w:sz w:val="22"/>
        </w:rPr>
        <w:t xml:space="preserve">Relevance to MMM: </w:t>
      </w:r>
      <w:r>
        <w:rPr>
          <w:rFonts w:ascii="Calibri" w:hAnsi="Calibri"/>
          <w:color w:val="525866"/>
          <w:sz w:val="22"/>
        </w:rPr>
        <w:t>Low-to-moderate — Pentair's pool segment destocking is specific to residential/consumer end markets; limited direct read-through to MMM's industrial businesses, but relevant to MMM's Consumer segment.</w:t>
      </w:r>
    </w:p>
    <w:p>
      <w:pPr>
        <w:pStyle w:val="ListBullet"/>
        <w:ind w:left="360" w:hanging="360"/>
      </w:pPr>
      <w:r>
        <w:rPr>
          <w:rFonts w:ascii="Calibri" w:hAnsi="Calibri"/>
          <w:b/>
          <w:color w:val="525866"/>
          <w:sz w:val="22"/>
        </w:rPr>
        <w:t>Significant negative pre-announcement:</w:t>
      </w:r>
      <w:r>
        <w:rPr>
          <w:rFonts w:ascii="Calibri" w:hAnsi="Calibri"/>
          <w:color w:val="525866"/>
          <w:sz w:val="22"/>
        </w:rPr>
        <w:t xml:space="preserve"> PNR cut Q2 guidance to sales -17% YoY (vs. consensus +1%) and EPS $1.12 (vs. $1.47), driven by elevated pool industry inventories. Full-year guidance cut to sales -4% to -7% (vs. prior +2% to +4%). CFO resigned. </w:t>
      </w:r>
    </w:p>
    <w:p>
      <w:pPr>
        <w:pStyle w:val="ListBullet"/>
        <w:ind w:left="360" w:hanging="360"/>
      </w:pPr>
      <w:r>
        <w:rPr>
          <w:rFonts w:ascii="Calibri" w:hAnsi="Calibri"/>
          <w:b/>
          <w:color w:val="525866"/>
          <w:sz w:val="22"/>
        </w:rPr>
        <w:t>Read-through to MMM Consumer:</w:t>
      </w:r>
      <w:r>
        <w:rPr>
          <w:rFonts w:ascii="Calibri" w:hAnsi="Calibri"/>
          <w:color w:val="525866"/>
          <w:sz w:val="22"/>
        </w:rPr>
        <w:t xml:space="preserve"> The pool segment destocking is specific to PNR and does not directly map to MMM's Consumer business (which is more focused on home improvement, office, and retail channels). However, it signals that consumer-facing industrial channels can experience sharp inventory corrections — a risk to monitor for MMM's Consumer segment, which was already down 1% organically in Q1.</w:t>
      </w:r>
    </w:p>
    <w:p>
      <w:pPr>
        <w:pStyle w:val="Heading3"/>
      </w:pPr>
      <w:r>
        <w:rPr>
          <w:rFonts w:ascii="Calibri" w:hAnsi="Calibri"/>
          <w:b/>
          <w:color w:val="3B4259"/>
          <w:sz w:val="24"/>
        </w:rPr>
        <w:t>Fastenal (FAST) — Q2 2026 Results (Jul 14, 2026)</w:t>
      </w:r>
    </w:p>
    <w:p>
      <w:r>
        <w:rPr>
          <w:rFonts w:ascii="Calibri" w:hAnsi="Calibri"/>
          <w:b/>
          <w:color w:val="525866"/>
          <w:sz w:val="22"/>
        </w:rPr>
        <w:t xml:space="preserve">Relevance to MMM: </w:t>
      </w:r>
      <w:r>
        <w:rPr>
          <w:rFonts w:ascii="Calibri" w:hAnsi="Calibri"/>
          <w:color w:val="525866"/>
          <w:sz w:val="22"/>
        </w:rPr>
        <w:t>Moderate — Fastenal is a major industrial distributor; its results are a real-time read on industrial demand and channel inventory levels.</w:t>
      </w:r>
    </w:p>
    <w:p>
      <w:pPr>
        <w:pStyle w:val="ListBullet"/>
        <w:ind w:left="360" w:hanging="360"/>
      </w:pPr>
      <w:r>
        <w:rPr>
          <w:rFonts w:ascii="Calibri" w:hAnsi="Calibri"/>
          <w:b/>
          <w:color w:val="525866"/>
          <w:sz w:val="22"/>
        </w:rPr>
        <w:t>Gross margin pressure noted:</w:t>
      </w:r>
      <w:r>
        <w:rPr>
          <w:rFonts w:ascii="Calibri" w:hAnsi="Calibri"/>
          <w:color w:val="525866"/>
          <w:sz w:val="22"/>
        </w:rPr>
        <w:t xml:space="preserve"> FAST experienced weakness following its Q2 earnings report, driven by gross margin pressure. This signals that industrial distributors are facing pricing/cost headwinds, which could be a modest negative read-through for MMM's Safety &amp; Industrial channel pricing dynamics.</w:t>
      </w:r>
    </w:p>
    <w:p>
      <w:pPr>
        <w:pStyle w:val="Heading3"/>
      </w:pPr>
      <w:r>
        <w:rPr>
          <w:rFonts w:ascii="Calibri" w:hAnsi="Calibri"/>
          <w:b/>
          <w:color w:val="3B4259"/>
          <w:sz w:val="24"/>
        </w:rPr>
        <w:t>Peer Commentary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Commentary Date</w:t>
            </w:r>
          </w:p>
        </w:tc>
        <w:tc>
          <w:tcPr>
            <w:tcW w:type="dxa" w:w="1728"/>
            <w:shd w:val="clear" w:color="auto" w:fill="3B4259"/>
          </w:tcPr>
          <w:p>
            <w:r>
              <w:rPr>
                <w:rFonts w:ascii="Calibri" w:hAnsi="Calibri"/>
                <w:b/>
                <w:color w:val="FFFFFF"/>
                <w:sz w:val="22"/>
              </w:rPr>
              <w:t>Key Signal for MMM Q2</w:t>
            </w:r>
          </w:p>
        </w:tc>
        <w:tc>
          <w:tcPr>
            <w:tcW w:type="dxa" w:w="1728"/>
            <w:shd w:val="clear" w:color="auto" w:fill="3B4259"/>
          </w:tcPr>
          <w:p>
            <w:r>
              <w:rPr>
                <w:rFonts w:ascii="Calibri" w:hAnsi="Calibri"/>
                <w:b/>
                <w:color w:val="FFFFFF"/>
                <w:sz w:val="22"/>
              </w:rPr>
              <w:t>Direction</w:t>
            </w:r>
          </w:p>
        </w:tc>
        <w:tc>
          <w:tcPr>
            <w:tcW w:type="dxa" w:w="1728"/>
            <w:shd w:val="clear" w:color="auto" w:fill="3B4259"/>
          </w:tcPr>
          <w:p>
            <w:r>
              <w:rPr>
                <w:rFonts w:ascii="Calibri" w:hAnsi="Calibri"/>
                <w:b/>
                <w:color w:val="FFFFFF"/>
                <w:sz w:val="22"/>
              </w:rPr>
              <w:t>Relevance</w:t>
            </w:r>
          </w:p>
        </w:tc>
      </w:tr>
      <w:tr>
        <w:tc>
          <w:tcPr>
            <w:tcW w:type="dxa" w:w="1728"/>
          </w:tcPr>
          <w:p>
            <w:r>
              <w:rPr>
                <w:rFonts w:ascii="Calibri" w:hAnsi="Calibri"/>
                <w:sz w:val="22"/>
              </w:rPr>
              <w:t>Rockwell Automation (ROK)</w:t>
            </w:r>
          </w:p>
        </w:tc>
        <w:tc>
          <w:tcPr>
            <w:tcW w:type="dxa" w:w="1728"/>
          </w:tcPr>
          <w:p>
            <w:r>
              <w:rPr>
                <w:rFonts w:ascii="Calibri" w:hAnsi="Calibri"/>
                <w:sz w:val="22"/>
              </w:rPr>
              <w:t>Jun 2 &amp; Jun 11, 2026</w:t>
            </w:r>
          </w:p>
        </w:tc>
        <w:tc>
          <w:tcPr>
            <w:tcW w:type="dxa" w:w="1728"/>
          </w:tcPr>
          <w:p>
            <w:r>
              <w:rPr>
                <w:rFonts w:ascii="Calibri" w:hAnsi="Calibri"/>
                <w:sz w:val="22"/>
              </w:rPr>
              <w:t>Industrial demand broadening; semi/data center raised; no pre-buy; 7% FY guide raised; 250 bps pricing</w:t>
            </w:r>
          </w:p>
        </w:tc>
        <w:tc>
          <w:tcPr>
            <w:tcW w:type="dxa" w:w="1728"/>
          </w:tcPr>
          <w:p>
            <w:r>
              <w:rPr>
                <w:rFonts w:ascii="Calibri" w:hAnsi="Calibri"/>
                <w:b/>
                <w:color w:val="30A46C"/>
                <w:sz w:val="22"/>
              </w:rPr>
              <w:t>Positive</w:t>
            </w:r>
          </w:p>
        </w:tc>
        <w:tc>
          <w:tcPr>
            <w:tcW w:type="dxa" w:w="1728"/>
          </w:tcPr>
          <w:p>
            <w:r>
              <w:rPr>
                <w:rFonts w:ascii="Calibri" w:hAnsi="Calibri"/>
                <w:sz w:val="22"/>
              </w:rPr>
              <w:t>High</w:t>
            </w:r>
          </w:p>
        </w:tc>
      </w:tr>
      <w:tr>
        <w:tc>
          <w:tcPr>
            <w:tcW w:type="dxa" w:w="1728"/>
          </w:tcPr>
          <w:p>
            <w:r>
              <w:rPr>
                <w:rFonts w:ascii="Calibri" w:hAnsi="Calibri"/>
                <w:sz w:val="22"/>
              </w:rPr>
              <w:t>Honeywell (HON)</w:t>
            </w:r>
          </w:p>
        </w:tc>
        <w:tc>
          <w:tcPr>
            <w:tcW w:type="dxa" w:w="1728"/>
          </w:tcPr>
          <w:p>
            <w:r>
              <w:rPr>
                <w:rFonts w:ascii="Calibri" w:hAnsi="Calibri"/>
                <w:sz w:val="22"/>
              </w:rPr>
              <w:t>Jun 8, 2026</w:t>
            </w:r>
          </w:p>
        </w:tc>
        <w:tc>
          <w:tcPr>
            <w:tcW w:type="dxa" w:w="1728"/>
          </w:tcPr>
          <w:p>
            <w:r>
              <w:rPr>
                <w:rFonts w:ascii="Calibri" w:hAnsi="Calibri"/>
                <w:sz w:val="22"/>
              </w:rPr>
              <w:t>Q2 on track; orders strongest in 6 years; IA short-cycle recovery; 4% pricing; Middle East impact manageable</w:t>
            </w:r>
          </w:p>
        </w:tc>
        <w:tc>
          <w:tcPr>
            <w:tcW w:type="dxa" w:w="1728"/>
          </w:tcPr>
          <w:p>
            <w:r>
              <w:rPr>
                <w:rFonts w:ascii="Calibri" w:hAnsi="Calibri"/>
                <w:b/>
                <w:color w:val="30A46C"/>
                <w:sz w:val="22"/>
              </w:rPr>
              <w:t>Positive</w:t>
            </w:r>
          </w:p>
        </w:tc>
        <w:tc>
          <w:tcPr>
            <w:tcW w:type="dxa" w:w="1728"/>
          </w:tcPr>
          <w:p>
            <w:r>
              <w:rPr>
                <w:rFonts w:ascii="Calibri" w:hAnsi="Calibri"/>
                <w:sz w:val="22"/>
              </w:rPr>
              <w:t>High</w:t>
            </w:r>
          </w:p>
        </w:tc>
      </w:tr>
      <w:tr>
        <w:tc>
          <w:tcPr>
            <w:tcW w:type="dxa" w:w="1728"/>
          </w:tcPr>
          <w:p>
            <w:r>
              <w:rPr>
                <w:rFonts w:ascii="Calibri" w:hAnsi="Calibri"/>
                <w:sz w:val="22"/>
              </w:rPr>
              <w:t>GE Aerospace (GE)</w:t>
            </w:r>
          </w:p>
        </w:tc>
        <w:tc>
          <w:tcPr>
            <w:tcW w:type="dxa" w:w="1728"/>
          </w:tcPr>
          <w:p>
            <w:r>
              <w:rPr>
                <w:rFonts w:ascii="Calibri" w:hAnsi="Calibri"/>
                <w:sz w:val="22"/>
              </w:rPr>
              <w:t>Jul 16, 2026</w:t>
            </w:r>
          </w:p>
        </w:tc>
        <w:tc>
          <w:tcPr>
            <w:tcW w:type="dxa" w:w="1728"/>
          </w:tcPr>
          <w:p>
            <w:r>
              <w:rPr>
                <w:rFonts w:ascii="Calibri" w:hAnsi="Calibri"/>
                <w:sz w:val="22"/>
              </w:rPr>
              <w:t>Q2 EPS +8.6% beat; revenue +24%; bookings +17%; FCF +43%; FY guidance raised; aerospace demand robust</w:t>
            </w:r>
          </w:p>
        </w:tc>
        <w:tc>
          <w:tcPr>
            <w:tcW w:type="dxa" w:w="1728"/>
          </w:tcPr>
          <w:p>
            <w:r>
              <w:rPr>
                <w:rFonts w:ascii="Calibri" w:hAnsi="Calibri"/>
                <w:b/>
                <w:color w:val="30A46C"/>
                <w:sz w:val="22"/>
              </w:rPr>
              <w:t>Positive</w:t>
            </w:r>
          </w:p>
        </w:tc>
        <w:tc>
          <w:tcPr>
            <w:tcW w:type="dxa" w:w="1728"/>
          </w:tcPr>
          <w:p>
            <w:r>
              <w:rPr>
                <w:rFonts w:ascii="Calibri" w:hAnsi="Calibri"/>
                <w:sz w:val="22"/>
              </w:rPr>
              <w:t>Moderate</w:t>
            </w:r>
          </w:p>
        </w:tc>
      </w:tr>
      <w:tr>
        <w:tc>
          <w:tcPr>
            <w:tcW w:type="dxa" w:w="1728"/>
          </w:tcPr>
          <w:p>
            <w:r>
              <w:rPr>
                <w:rFonts w:ascii="Calibri" w:hAnsi="Calibri"/>
                <w:sz w:val="22"/>
              </w:rPr>
              <w:t>Cintas (CTAS)</w:t>
            </w:r>
          </w:p>
        </w:tc>
        <w:tc>
          <w:tcPr>
            <w:tcW w:type="dxa" w:w="1728"/>
          </w:tcPr>
          <w:p>
            <w:r>
              <w:rPr>
                <w:rFonts w:ascii="Calibri" w:hAnsi="Calibri"/>
                <w:sz w:val="22"/>
              </w:rPr>
              <w:t>Jul 15, 2026</w:t>
            </w:r>
          </w:p>
        </w:tc>
        <w:tc>
          <w:tcPr>
            <w:tcW w:type="dxa" w:w="1728"/>
          </w:tcPr>
          <w:p>
            <w:r>
              <w:rPr>
                <w:rFonts w:ascii="Calibri" w:hAnsi="Calibri"/>
                <w:sz w:val="22"/>
              </w:rPr>
              <w:t>Revenue +8.9%; organic growth 8.3%; FY guidance above consensus; healthy industrial employment</w:t>
            </w:r>
          </w:p>
        </w:tc>
        <w:tc>
          <w:tcPr>
            <w:tcW w:type="dxa" w:w="1728"/>
          </w:tcPr>
          <w:p>
            <w:r>
              <w:rPr>
                <w:rFonts w:ascii="Calibri" w:hAnsi="Calibri"/>
                <w:b/>
                <w:color w:val="30A46C"/>
                <w:sz w:val="22"/>
              </w:rPr>
              <w:t>Positive</w:t>
            </w:r>
          </w:p>
        </w:tc>
        <w:tc>
          <w:tcPr>
            <w:tcW w:type="dxa" w:w="1728"/>
          </w:tcPr>
          <w:p>
            <w:r>
              <w:rPr>
                <w:rFonts w:ascii="Calibri" w:hAnsi="Calibri"/>
                <w:sz w:val="22"/>
              </w:rPr>
              <w:t>Moderate</w:t>
            </w:r>
          </w:p>
        </w:tc>
      </w:tr>
      <w:tr>
        <w:tc>
          <w:tcPr>
            <w:tcW w:type="dxa" w:w="1728"/>
          </w:tcPr>
          <w:p>
            <w:r>
              <w:rPr>
                <w:rFonts w:ascii="Calibri" w:hAnsi="Calibri"/>
                <w:sz w:val="22"/>
              </w:rPr>
              <w:t>Pentair (PNR)</w:t>
            </w:r>
          </w:p>
        </w:tc>
        <w:tc>
          <w:tcPr>
            <w:tcW w:type="dxa" w:w="1728"/>
          </w:tcPr>
          <w:p>
            <w:r>
              <w:rPr>
                <w:rFonts w:ascii="Calibri" w:hAnsi="Calibri"/>
                <w:sz w:val="22"/>
              </w:rPr>
              <w:t>Jul 14–15, 2026</w:t>
            </w:r>
          </w:p>
        </w:tc>
        <w:tc>
          <w:tcPr>
            <w:tcW w:type="dxa" w:w="1728"/>
          </w:tcPr>
          <w:p>
            <w:r>
              <w:rPr>
                <w:rFonts w:ascii="Calibri" w:hAnsi="Calibri"/>
                <w:sz w:val="22"/>
              </w:rPr>
              <w:t>Pool segment destocking; Q2 sales -17% vs. consensus +1%; FY guide cut; CFO resigned</w:t>
            </w:r>
          </w:p>
        </w:tc>
        <w:tc>
          <w:tcPr>
            <w:tcW w:type="dxa" w:w="1728"/>
          </w:tcPr>
          <w:p>
            <w:r>
              <w:rPr>
                <w:rFonts w:ascii="Calibri" w:hAnsi="Calibri"/>
                <w:b/>
                <w:color w:val="E5484D"/>
                <w:sz w:val="22"/>
              </w:rPr>
              <w:t>Cautionary</w:t>
            </w:r>
          </w:p>
        </w:tc>
        <w:tc>
          <w:tcPr>
            <w:tcW w:type="dxa" w:w="1728"/>
          </w:tcPr>
          <w:p>
            <w:r>
              <w:rPr>
                <w:rFonts w:ascii="Calibri" w:hAnsi="Calibri"/>
                <w:sz w:val="22"/>
              </w:rPr>
              <w:t>Low-Moderate (Consumer only)</w:t>
            </w:r>
          </w:p>
        </w:tc>
      </w:tr>
      <w:tr>
        <w:tc>
          <w:tcPr>
            <w:tcW w:type="dxa" w:w="1728"/>
          </w:tcPr>
          <w:p>
            <w:r>
              <w:rPr>
                <w:rFonts w:ascii="Calibri" w:hAnsi="Calibri"/>
                <w:sz w:val="22"/>
              </w:rPr>
              <w:t>Fastenal (FAST)</w:t>
            </w:r>
          </w:p>
        </w:tc>
        <w:tc>
          <w:tcPr>
            <w:tcW w:type="dxa" w:w="1728"/>
          </w:tcPr>
          <w:p>
            <w:r>
              <w:rPr>
                <w:rFonts w:ascii="Calibri" w:hAnsi="Calibri"/>
                <w:sz w:val="22"/>
              </w:rPr>
              <w:t>Jul 14, 2026</w:t>
            </w:r>
          </w:p>
        </w:tc>
        <w:tc>
          <w:tcPr>
            <w:tcW w:type="dxa" w:w="1728"/>
          </w:tcPr>
          <w:p>
            <w:r>
              <w:rPr>
                <w:rFonts w:ascii="Calibri" w:hAnsi="Calibri"/>
                <w:sz w:val="22"/>
              </w:rPr>
              <w:t>Gross margin pressure in industrial distribution channel</w:t>
            </w:r>
          </w:p>
        </w:tc>
        <w:tc>
          <w:tcPr>
            <w:tcW w:type="dxa" w:w="1728"/>
          </w:tcPr>
          <w:p>
            <w:r>
              <w:rPr>
                <w:rFonts w:ascii="Calibri" w:hAnsi="Calibri"/>
                <w:b/>
                <w:color w:val="E5484D"/>
                <w:sz w:val="22"/>
              </w:rPr>
              <w:t>Cautionary</w:t>
            </w:r>
          </w:p>
        </w:tc>
        <w:tc>
          <w:tcPr>
            <w:tcW w:type="dxa" w:w="1728"/>
          </w:tcPr>
          <w:p>
            <w:r>
              <w:rPr>
                <w:rFonts w:ascii="Calibri" w:hAnsi="Calibri"/>
                <w:sz w:val="22"/>
              </w:rPr>
              <w:t>Moderate</w:t>
            </w:r>
          </w:p>
        </w:tc>
      </w:tr>
    </w:tbl>
    <w:p>
      <w:r>
        <w:br w:type="page"/>
      </w:r>
    </w:p>
    <w:p>
      <w:pPr>
        <w:pStyle w:val="Heading2"/>
      </w:pPr>
      <w:r>
        <w:rPr>
          <w:rFonts w:ascii="Calibri" w:hAnsi="Calibri"/>
          <w:b/>
          <w:color w:val="3B4259"/>
          <w:sz w:val="28"/>
        </w:rPr>
        <w:t>Appendix: Key Data Sources &amp; Citations</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 All KPI consensus estimates and actuals (Net Sales, EPS-Diluted Operating, Organic Growth Operating, Operating Margin Operating, Free Cash Flow Operating). Source: Visible Alpha (https://insights.visiblealpha.com/mex/MMM/NMV/IS and /RV and /CF).</w:t>
      </w:r>
    </w:p>
    <w:p>
      <w:pPr>
        <w:pStyle w:val="ListBullet"/>
        <w:ind w:left="360" w:hanging="360"/>
      </w:pPr>
      <w:r>
        <w:rPr>
          <w:rFonts w:ascii="Calibri" w:hAnsi="Calibri"/>
          <w:b/>
          <w:color w:val="525866"/>
          <w:sz w:val="22"/>
        </w:rPr>
        <w:t>Stock Price Data</w:t>
      </w:r>
      <w:r>
        <w:rPr>
          <w:rFonts w:ascii="Calibri" w:hAnsi="Calibri"/>
          <w:color w:val="525866"/>
          <w:sz w:val="22"/>
        </w:rPr>
        <w:t xml:space="preserve"> — MMM, XLI, SPY daily closing prices April 20 – July 21, 2026. Source: Yahoo Finance.</w:t>
      </w:r>
    </w:p>
    <w:p>
      <w:pPr>
        <w:pStyle w:val="ListBullet"/>
        <w:ind w:left="360" w:hanging="360"/>
      </w:pPr>
      <w:r>
        <w:rPr>
          <w:rFonts w:ascii="Calibri" w:hAnsi="Calibri"/>
          <w:b/>
          <w:color w:val="525866"/>
          <w:sz w:val="22"/>
        </w:rPr>
        <w:t>3M Q1 2026 Earnings Call Transcript</w:t>
      </w:r>
      <w:r>
        <w:rPr>
          <w:rFonts w:ascii="Calibri" w:hAnsi="Calibri"/>
          <w:color w:val="525866"/>
          <w:sz w:val="22"/>
        </w:rPr>
        <w:t xml:space="preserve"> — April 21, 2026. Source: Implied Financial Documents Database.</w:t>
      </w:r>
    </w:p>
    <w:p>
      <w:pPr>
        <w:pStyle w:val="ListBullet"/>
        <w:ind w:left="360" w:hanging="360"/>
      </w:pPr>
      <w:r>
        <w:rPr>
          <w:rFonts w:ascii="Calibri" w:hAnsi="Calibri"/>
          <w:b/>
          <w:color w:val="525866"/>
          <w:sz w:val="22"/>
        </w:rPr>
        <w:t>3M Q1 2026 Earnings Release (8-K)</w:t>
      </w:r>
      <w:r>
        <w:rPr>
          <w:rFonts w:ascii="Calibri" w:hAnsi="Calibri"/>
          <w:color w:val="525866"/>
          <w:sz w:val="22"/>
        </w:rPr>
        <w:t xml:space="preserve"> — April 21, 2026. Source: SEC EDGAR / Implied Financial Documents Database.</w:t>
      </w:r>
    </w:p>
    <w:p>
      <w:pPr>
        <w:pStyle w:val="ListBullet"/>
        <w:ind w:left="360" w:hanging="360"/>
      </w:pPr>
      <w:r>
        <w:rPr>
          <w:rFonts w:ascii="Calibri" w:hAnsi="Calibri"/>
          <w:b/>
          <w:color w:val="525866"/>
          <w:sz w:val="22"/>
        </w:rPr>
        <w:t>3M Wells Fargo Industrials &amp; Materials Conference Transcript</w:t>
      </w:r>
      <w:r>
        <w:rPr>
          <w:rFonts w:ascii="Calibri" w:hAnsi="Calibri"/>
          <w:color w:val="525866"/>
          <w:sz w:val="22"/>
        </w:rPr>
        <w:t xml:space="preserve"> — June 10, 2026. Source: Implied Financial Documents Database.</w:t>
      </w:r>
    </w:p>
    <w:p>
      <w:pPr>
        <w:pStyle w:val="ListBullet"/>
        <w:ind w:left="360" w:hanging="360"/>
      </w:pPr>
      <w:r>
        <w:rPr>
          <w:rFonts w:ascii="Calibri" w:hAnsi="Calibri"/>
          <w:b/>
          <w:color w:val="525866"/>
          <w:sz w:val="22"/>
        </w:rPr>
        <w:t>Rockwell Automation (ROK) Conference Transcripts</w:t>
      </w:r>
      <w:r>
        <w:rPr>
          <w:rFonts w:ascii="Calibri" w:hAnsi="Calibri"/>
          <w:color w:val="525866"/>
          <w:sz w:val="22"/>
        </w:rPr>
        <w:t xml:space="preserve"> — Baird Global Consumer, Tech &amp; Services Conference (June 2, 2026) and Wells Fargo Industrials and Materials Conference (June 11, 2026). Source: Implied Financial Documents Database.</w:t>
      </w:r>
    </w:p>
    <w:p>
      <w:pPr>
        <w:pStyle w:val="ListBullet"/>
        <w:ind w:left="360" w:hanging="360"/>
      </w:pPr>
      <w:r>
        <w:rPr>
          <w:rFonts w:ascii="Calibri" w:hAnsi="Calibri"/>
          <w:b/>
          <w:color w:val="525866"/>
          <w:sz w:val="22"/>
        </w:rPr>
        <w:t>Honeywell (HON) Guidance Update Call Transcript</w:t>
      </w:r>
      <w:r>
        <w:rPr>
          <w:rFonts w:ascii="Calibri" w:hAnsi="Calibri"/>
          <w:color w:val="525866"/>
          <w:sz w:val="22"/>
        </w:rPr>
        <w:t xml:space="preserve"> — June 8, 2026. Source: Implied Financial Documents Database.</w:t>
      </w:r>
    </w:p>
    <w:p>
      <w:pPr>
        <w:pStyle w:val="ListBullet"/>
        <w:ind w:left="360" w:hanging="360"/>
      </w:pPr>
      <w:r>
        <w:rPr>
          <w:rFonts w:ascii="Calibri" w:hAnsi="Calibri"/>
          <w:b/>
          <w:color w:val="525866"/>
          <w:sz w:val="22"/>
        </w:rPr>
        <w:t>GE Aerospace Q2 2026 Earnings Release (8-K)</w:t>
      </w:r>
      <w:r>
        <w:rPr>
          <w:rFonts w:ascii="Calibri" w:hAnsi="Calibri"/>
          <w:color w:val="525866"/>
          <w:sz w:val="22"/>
        </w:rPr>
        <w:t xml:space="preserve"> — July 16, 2026. Source: SEC EDGAR.</w:t>
      </w:r>
    </w:p>
    <w:p>
      <w:pPr>
        <w:pStyle w:val="ListBullet"/>
        <w:ind w:left="360" w:hanging="360"/>
      </w:pPr>
      <w:r>
        <w:rPr>
          <w:rFonts w:ascii="Calibri" w:hAnsi="Calibri"/>
          <w:b/>
          <w:color w:val="525866"/>
          <w:sz w:val="22"/>
        </w:rPr>
        <w:t>News Sources</w:t>
      </w:r>
      <w:r>
        <w:rPr>
          <w:rFonts w:ascii="Calibri" w:hAnsi="Calibri"/>
          <w:color w:val="525866"/>
          <w:sz w:val="22"/>
        </w:rPr>
        <w:t xml:space="preserve"> — Reuters, WSJ, Barron's, CNBC, Bloomberg (via Implied News Digest). Dates as cited in each section.</w:t>
      </w:r>
    </w:p>
    <w:p>
      <w:pPr>
        <w:pStyle w:val="ListBullet"/>
        <w:ind w:left="360" w:hanging="360"/>
      </w:pPr>
      <w:r>
        <w:rPr>
          <w:rFonts w:ascii="Calibri" w:hAnsi="Calibri"/>
          <w:b/>
          <w:color w:val="525866"/>
          <w:sz w:val="22"/>
        </w:rPr>
        <w:t>SEC Form 4 / Form 144 Database</w:t>
      </w:r>
      <w:r>
        <w:rPr>
          <w:rFonts w:ascii="Calibri" w:hAnsi="Calibri"/>
          <w:color w:val="525866"/>
          <w:sz w:val="22"/>
        </w:rPr>
        <w:t xml:space="preserve"> — Insider transaction data for MMM, April 21 – July 20, 2026. Source: SEC EDGAR via Implied Financial Documents Database.</w:t>
      </w:r>
    </w:p>
    <w:p>
      <w:pPr>
        <w:pStyle w:val="ListBullet"/>
        <w:ind w:left="360" w:hanging="360"/>
      </w:pPr>
      <w:r>
        <w:rPr>
          <w:rFonts w:ascii="Calibri" w:hAnsi="Calibri"/>
          <w:b/>
          <w:color w:val="525866"/>
          <w:sz w:val="22"/>
        </w:rPr>
        <w:t>3M Stock Performance Decomposition</w:t>
      </w:r>
      <w:r>
        <w:rPr>
          <w:rFonts w:ascii="Calibri" w:hAnsi="Calibri"/>
          <w:color w:val="525866"/>
          <w:sz w:val="22"/>
        </w:rPr>
        <w:t xml:space="preserve"> — NTM valuation multiples (EV/EBITDA, P/E, P/FCF, P/Sales, EV/Sales, P/Book). Source: Implied Analytics.</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