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2a5a5a9273d833d0bb824735c71a23850f467"/>
    <w:p>
      <w:pPr>
        <w:pStyle w:val="Heading1"/>
      </w:pPr>
      <w:r>
        <w:t xml:space="preserve">Marsh McLennan (MRSH/MMC) — Q2 2026 Earnings Preview</w:t>
      </w:r>
    </w:p>
    <w:bookmarkStart w:id="9" w:name="X57e8bb444add3f41588b493633459d53bac4c6e"/>
    <w:p>
      <w:pPr>
        <w:pStyle w:val="Heading3"/>
      </w:pPr>
      <w:r>
        <w:t xml:space="preserve">Reports Tuesday, July 21, 2026, before the open | 2026Q2 Earnings Call</w:t>
      </w:r>
    </w:p>
    <w:p>
      <w:pPr>
        <w:pStyle w:val="BlockText"/>
      </w:pPr>
      <w:r>
        <w:t xml:space="preserve">Note: "MRSH" is the world's leading insurance broker and professional-services firm Marsh McLennan, which files under the internal ticker</w:t>
      </w:r>
      <w:r>
        <w:t xml:space="preserve"> </w:t>
      </w:r>
      <w:r>
        <w:rPr>
          <w:b/>
          <w:bCs/>
        </w:rPr>
        <w:t xml:space="preserve">MMC</w:t>
      </w:r>
      <w:r>
        <w:t xml:space="preserve">. All fundamentals below are sourced to Marsh McLennan's filings and transcripts.</w:t>
      </w:r>
    </w:p>
    <w:p>
      <w:r>
        <w:pict>
          <v:rect style="width:0;height:1.5pt" o:hralign="center" o:hrstd="t" o:hr="t"/>
        </w:pict>
      </w:r>
    </w:p>
    <w:bookmarkEnd w:id="9"/>
    <w:bookmarkStart w:id="10" w:name="Xcf602bb59f385f52efb23d9927aeddbbc26ab65"/>
    <w:p>
      <w:pPr>
        <w:pStyle w:val="Heading2"/>
      </w:pPr>
      <w:r>
        <w:t xml:space="preserve">1. The One-Line Setup</w:t>
      </w:r>
    </w:p>
    <w:p>
      <w:pPr>
        <w:pStyle w:val="FirstParagraph"/>
      </w:pPr>
      <w:r>
        <w:t xml:space="preserve">Marsh McLennan goes into Q2 as a high-quality compounder facing its toughest organic-growth backdrop in years. The debate is no longer about whether MMC executes — it's about</w:t>
      </w:r>
      <w:r>
        <w:t xml:space="preserve"> </w:t>
      </w:r>
      <w:r>
        <w:rPr>
          <w:b/>
          <w:bCs/>
        </w:rPr>
        <w:t xml:space="preserve">how much soft P&amp;C/reinsurance pricing and lower fiduciary income slow the top line</w:t>
      </w:r>
      <w:r>
        <w:t xml:space="preserve">, and whether the company can still deliver its signature margin expansion and high-single-digit EPS growth against that tape. Sentiment into the print is</w:t>
      </w:r>
      <w:r>
        <w:t xml:space="preserve"> </w:t>
      </w:r>
      <w:r>
        <w:rPr>
          <w:b/>
          <w:bCs/>
        </w:rPr>
        <w:t xml:space="preserve">neutral-to-cautious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X07034c3b35d37eba1c6d5cb41fa8675be0f21ec"/>
    <w:p>
      <w:pPr>
        <w:pStyle w:val="Heading2"/>
      </w:pPr>
      <w:r>
        <w:t xml:space="preserve">2. What the Street Expects</w:t>
      </w:r>
    </w:p>
    <w:p>
      <w:pPr>
        <w:pStyle w:val="FirstParagraph"/>
      </w:pPr>
      <w:r>
        <w:t xml:space="preserve">Consensus for Q2 2026 clusters around: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Underlying (organic) revenue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~3.6%</w:t>
            </w:r>
            <w:r>
              <w:t xml:space="preserve"> </w:t>
            </w:r>
            <w:r>
              <w:t xml:space="preserve">(RIS ~3.1%)</w:t>
            </w:r>
          </w:p>
        </w:tc>
        <w:tc>
          <w:tcPr/>
          <w:p>
            <w:pPr>
              <w:pStyle w:val="Compact"/>
            </w:pPr>
            <w:r>
              <w:t xml:space="preserve">+4% (RIS +4%)</w:t>
            </w:r>
          </w:p>
        </w:tc>
        <w:tc>
          <w:tcPr/>
          <w:p>
            <w:pPr>
              <w:pStyle w:val="Compact"/>
            </w:pPr>
            <w:r>
              <w:t xml:space="preserve">Decelerating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~29.3%</w:t>
            </w:r>
          </w:p>
        </w:tc>
        <w:tc>
          <w:tcPr/>
          <w:p>
            <w:pPr>
              <w:pStyle w:val="Compact"/>
            </w:pPr>
            <w:r>
              <w:t xml:space="preserve">29.5%</w:t>
            </w:r>
          </w:p>
        </w:tc>
        <w:tc>
          <w:tcPr/>
          <w:p>
            <w:pPr>
              <w:pStyle w:val="Compact"/>
            </w:pPr>
            <w:r>
              <w:t xml:space="preserve">~flat/slightly 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~$2.90</w:t>
            </w:r>
          </w:p>
        </w:tc>
        <w:tc>
          <w:tcPr/>
          <w:p>
            <w:pPr>
              <w:pStyle w:val="Compact"/>
            </w:pPr>
            <w:r>
              <w:t xml:space="preserve">$2.72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~+6–7%</w:t>
            </w:r>
          </w:p>
        </w:tc>
      </w:tr>
    </w:tbl>
    <w:p>
      <w:pPr>
        <w:pStyle w:val="BodyText"/>
      </w:pPr>
      <w:r>
        <w:t xml:space="preserve">The setup is a modest organic deceleration with roughly flat margins and mid-to-high-single-digit EPS growth — consistent with management's full-year framing but leaving little room for disappointment given the valuation and recent run in the stock.</w:t>
      </w:r>
    </w:p>
    <w:p>
      <w:r>
        <w:pict>
          <v:rect style="width:0;height:1.5pt" o:hralign="center" o:hrstd="t" o:hr="t"/>
        </w:pict>
      </w:r>
    </w:p>
    <w:bookmarkEnd w:id="11"/>
    <w:bookmarkStart w:id="16" w:name="Xfac1eef84e1177e500134a04f02c1b392e5d67d"/>
    <w:p>
      <w:pPr>
        <w:pStyle w:val="Heading2"/>
      </w:pPr>
      <w:r>
        <w:t xml:space="preserve">3. Key Debates &amp; What to Watch</w:t>
      </w:r>
    </w:p>
    <w:bookmarkStart w:id="12" w:name="X3279252bee6fc261a76a437b8c52ffbc618d51b"/>
    <w:p>
      <w:pPr>
        <w:pStyle w:val="Heading3"/>
      </w:pPr>
      <w:r>
        <w:t xml:space="preserve">a) Organic growth deceleration — how bad, and is it priced?</w:t>
      </w:r>
    </w:p>
    <w:p>
      <w:pPr>
        <w:pStyle w:val="FirstParagraph"/>
      </w:pPr>
      <w:r>
        <w:t xml:space="preserve">Management framed 2026 organic growth as</w:t>
      </w:r>
      <w:r>
        <w:t xml:space="preserve"> </w:t>
      </w:r>
      <w:r>
        <w:rPr>
          <w:b/>
          <w:bCs/>
        </w:rPr>
        <w:t xml:space="preserve">"similar to 2025"</w:t>
      </w:r>
      <w:r>
        <w:t xml:space="preserve"> </w:t>
      </w:r>
      <w:r>
        <w:t xml:space="preserve">(2025 was ~4%), while acknowledging two persistent headwinds:</w:t>
      </w:r>
      <w:r>
        <w:t xml:space="preserve"> </w:t>
      </w:r>
      <w:r>
        <w:rPr>
          <w:b/>
          <w:bCs/>
        </w:rPr>
        <w:t xml:space="preserve">declining insurance/reinsurance rates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lower fiduciary interest income</w:t>
      </w:r>
      <w:r>
        <w:t xml:space="preserve">. In Q1 2026: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Primary commercial insurance rates fell 5%</w:t>
      </w:r>
      <w:r>
        <w:t xml:space="preserve"> </w:t>
      </w:r>
      <w:r>
        <w:t xml:space="preserve">(property down 9%), following a 4% decline in Q4 2025. MMC's index skews to large accounts.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Casualty rates rose 3%</w:t>
      </w:r>
      <w:r>
        <w:t xml:space="preserve"> </w:t>
      </w:r>
      <w:r>
        <w:t xml:space="preserve">(U.S. excess casualty +18%) — a partial offset and a demand driver as loss-cost inflation runs ~2x GDP.</w:t>
      </w:r>
    </w:p>
    <w:p>
      <w:pPr>
        <w:pStyle w:val="Compact"/>
        <w:numPr>
          <w:ilvl w:val="0"/>
          <w:numId w:val="1001"/>
        </w:numPr>
      </w:pPr>
      <w:r>
        <w:t xml:space="preserve">RIS organic was</w:t>
      </w:r>
      <w:r>
        <w:t xml:space="preserve"> </w:t>
      </w:r>
      <w:r>
        <w:rPr>
          <w:b/>
          <w:bCs/>
        </w:rPr>
        <w:t xml:space="preserve">+3%</w:t>
      </w:r>
      <w:r>
        <w:t xml:space="preserve"> </w:t>
      </w:r>
      <w:r>
        <w:t xml:space="preserve">in Q1, with Marsh Risk +4% and Guy Carpenter just +2%.</w:t>
      </w:r>
    </w:p>
    <w:p>
      <w:pPr>
        <w:pStyle w:val="FirstParagraph"/>
      </w:pPr>
      <w:r>
        <w:rPr>
          <w:b/>
          <w:bCs/>
        </w:rPr>
        <w:t xml:space="preserve">Watch:</w:t>
      </w:r>
      <w:r>
        <w:t xml:space="preserve"> </w:t>
      </w:r>
      <w:r>
        <w:t xml:space="preserve">Marsh Risk organic (Q1 was +4%; U.S./Canada +3%, International +5%), and whether MMA (middle market) and specialty/construction/transaction-risk new business continue to offset rate softness.</w:t>
      </w:r>
    </w:p>
    <w:bookmarkEnd w:id="12"/>
    <w:bookmarkStart w:id="13" w:name="b-guy-carpenter-faces-its-toughest-comp"/>
    <w:p>
      <w:pPr>
        <w:pStyle w:val="Heading3"/>
      </w:pPr>
      <w:r>
        <w:t xml:space="preserve">b) Guy Carpenter faces its toughest comp</w:t>
      </w:r>
    </w:p>
    <w:p>
      <w:pPr>
        <w:pStyle w:val="FirstParagraph"/>
      </w:pPr>
      <w:r>
        <w:t xml:space="preserve">This is likely the softest spot. Guy Carpenter grew only</w:t>
      </w:r>
      <w:r>
        <w:t xml:space="preserve"> </w:t>
      </w:r>
      <w:r>
        <w:rPr>
          <w:b/>
          <w:bCs/>
        </w:rPr>
        <w:t xml:space="preserve">2% organic in Q1</w:t>
      </w:r>
      <w:r>
        <w:t xml:space="preserve"> </w:t>
      </w:r>
      <w:r>
        <w:t xml:space="preserve">against a tough +5% comp, and Q2 laps another</w:t>
      </w:r>
      <w:r>
        <w:t xml:space="preserve"> </w:t>
      </w:r>
      <w:r>
        <w:rPr>
          <w:b/>
          <w:bCs/>
        </w:rPr>
        <w:t xml:space="preserve">+5%</w:t>
      </w:r>
      <w:r>
        <w:t xml:space="preserve"> </w:t>
      </w:r>
      <w:r>
        <w:t xml:space="preserve">from last year. Management flagged</w:t>
      </w:r>
      <w:r>
        <w:t xml:space="preserve"> </w:t>
      </w:r>
      <w:r>
        <w:rPr>
          <w:b/>
          <w:bCs/>
        </w:rPr>
        <w:t xml:space="preserve">Japan (April 1) and Florida (June 1) property-cat renewals</w:t>
      </w:r>
      <w:r>
        <w:t xml:space="preserve"> </w:t>
      </w:r>
      <w:r>
        <w:t xml:space="preserve">with rates down</w:t>
      </w:r>
      <w:r>
        <w:t xml:space="preserve"> </w:t>
      </w:r>
      <w:r>
        <w:rPr>
          <w:b/>
          <w:bCs/>
        </w:rPr>
        <w:t xml:space="preserve">15–20%</w:t>
      </w:r>
      <w:r>
        <w:t xml:space="preserve"> </w:t>
      </w:r>
      <w:r>
        <w:t xml:space="preserve">and "excess supply." Doyle has openly said this</w:t>
      </w:r>
      <w:r>
        <w:t xml:space="preserve"> </w:t>
      </w:r>
      <w:r>
        <w:rPr>
          <w:b/>
          <w:bCs/>
        </w:rPr>
        <w:t xml:space="preserve">"is not likely to be Guy Carpenter's best growth year."</w:t>
      </w:r>
      <w:r>
        <w:t xml:space="preserve"> </w:t>
      </w:r>
      <w:r>
        <w:t xml:space="preserve">Don't be surprised by low-single-digit (or lower) organic here; the question is whether record new business and cat-bond/ILS issuance cushion it.</w:t>
      </w:r>
    </w:p>
    <w:bookmarkEnd w:id="13"/>
    <w:bookmarkStart w:id="14" w:name="X0b2fee9fc43cec4ddd1d7992344c0af47fdb0fe"/>
    <w:p>
      <w:pPr>
        <w:pStyle w:val="Heading3"/>
      </w:pPr>
      <w:r>
        <w:t xml:space="preserve">c) Margins — can the 18-year streak extend to 19?</w:t>
      </w:r>
    </w:p>
    <w:p>
      <w:pPr>
        <w:pStyle w:val="FirstParagraph"/>
      </w:pPr>
      <w:r>
        <w:t xml:space="preserve">MMC has expanded adjusted margins</w:t>
      </w:r>
      <w:r>
        <w:t xml:space="preserve"> </w:t>
      </w:r>
      <w:r>
        <w:rPr>
          <w:b/>
          <w:bCs/>
        </w:rPr>
        <w:t xml:space="preserve">18 consecutive years</w:t>
      </w:r>
      <w:r>
        <w:t xml:space="preserve"> </w:t>
      </w:r>
      <w:r>
        <w:t xml:space="preserve">and reaffirmed year 19 for 2026. Two important modeling nuances from management: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Margin expansion is weighted to 2H 2026</w:t>
      </w:r>
      <w:r>
        <w:t xml:space="preserve"> </w:t>
      </w:r>
      <w:r>
        <w:t xml:space="preserve">— so a flattish-to-slightly-lower Q2 margin (~29.3% vs. 29.5% a year ago) would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necessarily break the thesis.</w:t>
      </w:r>
    </w:p>
    <w:p>
      <w:pPr>
        <w:pStyle w:val="Compact"/>
        <w:numPr>
          <w:ilvl w:val="0"/>
          <w:numId w:val="100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Thrive program</w:t>
      </w:r>
      <w:r>
        <w:t xml:space="preserve"> </w:t>
      </w:r>
      <w:r>
        <w:t xml:space="preserve">(</w:t>
      </w:r>
      <m:oMath>
        <m:r>
          <m:t>400</m:t>
        </m:r>
        <m:r>
          <m:t>M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t xml:space="preserve">500M of charges) and AI/BCS (Business &amp; Client Services) automation are the levers funding both margins and reinvestment.</w:t>
      </w:r>
    </w:p>
    <w:bookmarkEnd w:id="14"/>
    <w:bookmarkStart w:id="15" w:name="d-the-ai-narrative--offense-or-threat"/>
    <w:p>
      <w:pPr>
        <w:pStyle w:val="Heading3"/>
      </w:pPr>
      <w:r>
        <w:t xml:space="preserve">d) The AI narrative — offense or threat?</w:t>
      </w:r>
    </w:p>
    <w:p>
      <w:pPr>
        <w:pStyle w:val="FirstParagraph"/>
      </w:pPr>
      <w:r>
        <w:t xml:space="preserve">Management is aggressively positioning MMC as an</w:t>
      </w:r>
      <w:r>
        <w:t xml:space="preserve"> </w:t>
      </w:r>
      <w:r>
        <w:rPr>
          <w:b/>
          <w:bCs/>
        </w:rPr>
        <w:t xml:space="preserve">"AI winner"</w:t>
      </w:r>
      <w:r>
        <w:t xml:space="preserve"> </w:t>
      </w:r>
      <w:r>
        <w:t xml:space="preserve">across three pillars — growth (Aida, Sentrisk, Euclid, GC QuoteBox, Oliver Wyman's "Quotient"), productivity, and efficiency (BCS). The bull case: scale + proprietary data + trusted-advisor relationships. The bear case investors keep pressing:</w:t>
      </w:r>
      <w:r>
        <w:t xml:space="preserve"> </w:t>
      </w:r>
      <w:r>
        <w:rPr>
          <w:b/>
          <w:bCs/>
        </w:rPr>
        <w:t xml:space="preserve">disintermediation risk</w:t>
      </w:r>
      <w:r>
        <w:t xml:space="preserve"> </w:t>
      </w:r>
      <w:r>
        <w:t xml:space="preserve">and whether AI productivity gains get</w:t>
      </w:r>
      <w:r>
        <w:t xml:space="preserve"> </w:t>
      </w:r>
      <w:r>
        <w:rPr>
          <w:b/>
          <w:bCs/>
        </w:rPr>
        <w:t xml:space="preserve">competed away vs. retained as margin</w:t>
      </w:r>
      <w:r>
        <w:t xml:space="preserve">. Expect more of this on the call; watch for any quantification of savings or revenue.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Xdaebf858a8862112fb85965ef5fdbff8e13088c"/>
    <w:p>
      <w:pPr>
        <w:pStyle w:val="Heading2"/>
      </w:pPr>
      <w:r>
        <w:t xml:space="preserve">4. Modeling Details Management Already Gave (for Q2)</w:t>
      </w:r>
    </w:p>
    <w:p>
      <w:pPr>
        <w:pStyle w:val="FirstParagraph"/>
      </w:pPr>
      <w:r>
        <w:t xml:space="preserve">From the Q1 2026 call, MMC pre-guided several Q2 line items: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Fiduciary interest income: ~$80M</w:t>
      </w:r>
      <w:r>
        <w:t xml:space="preserve"> </w:t>
      </w:r>
      <w:r>
        <w:t xml:space="preserve">(a headwind; was $99M in Q2 2025) — a direct drag on high-margin revenue.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Corporate expense: ~$90M</w:t>
      </w:r>
      <w:r>
        <w:t xml:space="preserve">, including some one-off timing items (up from $74M in Q1).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Interest expense: ~$245M.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FX: immaterial</w:t>
      </w:r>
      <w:r>
        <w:t xml:space="preserve"> </w:t>
      </w:r>
      <w:r>
        <w:t xml:space="preserve">for Q2 and rest of year.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2026 adjusted tax rate: 24.5%–25.5%</w:t>
      </w:r>
      <w:r>
        <w:t xml:space="preserve"> </w:t>
      </w:r>
      <w:r>
        <w:t xml:space="preserve">(Q1 was 25.1%). Watch for discrete items that can swing reported EPS.</w:t>
      </w:r>
    </w:p>
    <w:p>
      <w:r>
        <w:pict>
          <v:rect style="width:0;height:1.5pt" o:hralign="center" o:hrstd="t" o:hr="t"/>
        </w:pict>
      </w:r>
    </w:p>
    <w:bookmarkEnd w:id="17"/>
    <w:bookmarkStart w:id="18" w:name="Xd70070b083e3d3f47f51844c91df4f00a3caf0b"/>
    <w:p>
      <w:pPr>
        <w:pStyle w:val="Heading2"/>
      </w:pPr>
      <w:r>
        <w:t xml:space="preserve">5. Capital Return &amp; M&amp;A</w:t>
      </w:r>
    </w:p>
    <w:p>
      <w:pPr>
        <w:pStyle w:val="Compact"/>
        <w:numPr>
          <w:ilvl w:val="0"/>
          <w:numId w:val="1004"/>
        </w:numPr>
      </w:pPr>
      <w:r>
        <w:t xml:space="preserve">MMC plans</w:t>
      </w:r>
      <w:r>
        <w:t xml:space="preserve"> </w:t>
      </w:r>
      <w:r>
        <w:rPr>
          <w:b/>
          <w:bCs/>
        </w:rPr>
        <w:t xml:space="preserve">~$5 billion of total capital deployment in 2026</w:t>
      </w:r>
      <w:r>
        <w:t xml:space="preserve"> </w:t>
      </w:r>
      <w:r>
        <w:t xml:space="preserve">across dividends, buybacks, and M&amp;A; buyback size is the residual after M&amp;A.</w:t>
      </w:r>
    </w:p>
    <w:p>
      <w:pPr>
        <w:pStyle w:val="Compact"/>
        <w:numPr>
          <w:ilvl w:val="0"/>
          <w:numId w:val="1004"/>
        </w:numPr>
      </w:pPr>
      <w:r>
        <w:t xml:space="preserve">The company</w:t>
      </w:r>
      <w:r>
        <w:t xml:space="preserve"> </w:t>
      </w:r>
      <w:r>
        <w:rPr>
          <w:b/>
          <w:bCs/>
        </w:rPr>
        <w:t xml:space="preserve">front-loaded repurchases</w:t>
      </w:r>
      <w:r>
        <w:t xml:space="preserve"> </w:t>
      </w:r>
      <w:r>
        <w:t xml:space="preserve">($750M in Q1 after $1B in Q4 2025) and raised the dividend 10% in mid-2025. With brokers' stocks having "reset lower," watch whether MMC leans further into buybacks.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M&amp;A pipeline:</w:t>
      </w:r>
      <w:r>
        <w:t xml:space="preserve"> </w:t>
      </w:r>
      <w:r>
        <w:t xml:space="preserve">the ~€20B-AUM private-markets manager</w:t>
      </w:r>
      <w:r>
        <w:t xml:space="preserve"> </w:t>
      </w:r>
      <w:r>
        <w:rPr>
          <w:b/>
          <w:bCs/>
        </w:rPr>
        <w:t xml:space="preserve">AltamarCAM</w:t>
      </w:r>
      <w:r>
        <w:t xml:space="preserve"> </w:t>
      </w:r>
      <w:r>
        <w:t xml:space="preserve">is pending (expected to close later in 2026); management continues its "string of pearls" plus optionality on larger deals. Note a growing bid/ask gap, with financial sponsors more aggressive than strategics.</w:t>
      </w:r>
    </w:p>
    <w:p>
      <w:r>
        <w:pict>
          <v:rect style="width:0;height:1.5pt" o:hralign="center" o:hrstd="t" o:hr="t"/>
        </w:pict>
      </w:r>
    </w:p>
    <w:bookmarkEnd w:id="18"/>
    <w:bookmarkStart w:id="19" w:name="X34ef8591eaab134e82a61870c66c778613e31ec"/>
    <w:p>
      <w:pPr>
        <w:pStyle w:val="Heading2"/>
      </w:pPr>
      <w:r>
        <w:t xml:space="preserve">6. Overhangs &amp; Risks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Greensill litigation:</w:t>
      </w:r>
      <w:r>
        <w:t xml:space="preserve"> </w:t>
      </w:r>
      <w:r>
        <w:t xml:space="preserve">MMC booked a</w:t>
      </w:r>
      <w:r>
        <w:t xml:space="preserve"> </w:t>
      </w:r>
      <w:r>
        <w:rPr>
          <w:b/>
          <w:bCs/>
        </w:rPr>
        <w:t xml:space="preserve">$425M charge in Q1 2026</w:t>
      </w:r>
      <w:r>
        <w:t xml:space="preserve"> </w:t>
      </w:r>
      <w:r>
        <w:t xml:space="preserve">related to its role as Greensill's insurance broker, informed by a court-sponsored mediation. It's a noteworthy (excluded) item, but the litigation is ongoing — watch for any update or further reserve movement.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Macro/geopolitical:</w:t>
      </w:r>
      <w:r>
        <w:t xml:space="preserve"> </w:t>
      </w:r>
      <w:r>
        <w:t xml:space="preserve">Guidance is explicitly conditioned on current conditions; Middle East conflict, tariffs/trade, lower rates, and softer GDP are cited risks.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Rate cycle:</w:t>
      </w:r>
      <w:r>
        <w:t xml:space="preserve"> </w:t>
      </w:r>
      <w:r>
        <w:t xml:space="preserve">Continued softening in property and reinsurance is the structural top-line headwind for 2026.</w:t>
      </w:r>
    </w:p>
    <w:p>
      <w:r>
        <w:pict>
          <v:rect style="width:0;height:1.5pt" o:hralign="center" o:hrstd="t" o:hr="t"/>
        </w:pict>
      </w:r>
    </w:p>
    <w:bookmarkEnd w:id="19"/>
    <w:bookmarkStart w:id="20" w:name="Xd226264fb5749d335744457547ed11417430da4"/>
    <w:p>
      <w:pPr>
        <w:pStyle w:val="Heading2"/>
      </w:pPr>
      <w:r>
        <w:t xml:space="preserve">7. Recent Stock Context</w:t>
      </w:r>
    </w:p>
    <w:p>
      <w:pPr>
        <w:pStyle w:val="FirstParagraph"/>
      </w:pPr>
      <w:r>
        <w:t xml:space="preserve">MMC shares have recovered meaningfully into the print, rising from roughly</w:t>
      </w:r>
      <w:r>
        <w:t xml:space="preserve"> </w:t>
      </w:r>
      <m:oMath>
        <m:r>
          <m:t>162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n</m:t>
        </m:r>
        <m:r>
          <m:t>e</m:t>
        </m:r>
        <m:r>
          <m:t>t</m:t>
        </m:r>
        <m:r>
          <m:t>o</m:t>
        </m:r>
        <m:r>
          <m:t> </m:t>
        </m:r>
      </m:oMath>
      <w:r>
        <w:rPr>
          <w:b/>
          <w:bCs/>
        </w:rPr>
        <w:t xml:space="preserve">182 by July 20</w:t>
      </w:r>
      <w:r>
        <w:t xml:space="preserve"> </w:t>
      </w:r>
      <w:r>
        <w:t xml:space="preserve">(~+12%). That rebound raises the bar: after de-rating with the broker group earlier, the stock is entering the report with momentum, so a merely "in-line" organic number against decelerating trends could be treated harshly. Conversely, resilient Marsh Risk organic, reaffirmed year-19 margin expansion, and steady capital return would support the quality-compounder narrative.</w:t>
      </w:r>
    </w:p>
    <w:p>
      <w:r>
        <w:pict>
          <v:rect style="width:0;height:1.5pt" o:hralign="center" o:hrstd="t" o:hr="t"/>
        </w:pict>
      </w:r>
    </w:p>
    <w:bookmarkEnd w:id="20"/>
    <w:bookmarkStart w:id="21" w:name="X6905832492004941310bc418f155004814ec0fb"/>
    <w:p>
      <w:pPr>
        <w:pStyle w:val="Heading2"/>
      </w:pPr>
      <w:r>
        <w:t xml:space="preserve">8. Bottom Line — What Would Move the Stock</w:t>
      </w:r>
    </w:p>
    <w:p>
      <w:pPr>
        <w:pStyle w:val="FirstParagraph"/>
      </w:pPr>
      <w:r>
        <w:rPr>
          <w:b/>
          <w:bCs/>
        </w:rPr>
        <w:t xml:space="preserve">Positive:</w:t>
      </w:r>
      <w:r>
        <w:t xml:space="preserve"> </w:t>
      </w:r>
      <w:r>
        <w:t xml:space="preserve">Marsh Risk organic holding ≥4%; total organic at/above ~3.6%; margins flat-to-up with reaffirmed 2H-weighted expansion and full-year "similar to 2025" organic; larger buyback; concrete AI efficiency/revenue proof points.</w:t>
      </w:r>
    </w:p>
    <w:p>
      <w:pPr>
        <w:pStyle w:val="BodyText"/>
      </w:pPr>
      <w:r>
        <w:rPr>
          <w:b/>
          <w:bCs/>
        </w:rPr>
        <w:t xml:space="preserve">Negative:</w:t>
      </w:r>
      <w:r>
        <w:t xml:space="preserve"> </w:t>
      </w:r>
      <w:r>
        <w:t xml:space="preserve">Organic slipping toward ~3% (especially if Guy Carpenter and Mercer/Career soften together); any hint that full-year organic guide is at risk; margin pressure not clearly explained by known Q2 one-offs (corporate expense, fiduciary income); incremental Greensill or litigation escalation.</w:t>
      </w:r>
    </w:p>
    <w:p>
      <w:pPr>
        <w:pStyle w:val="BodyText"/>
      </w:pPr>
      <w:r>
        <w:t xml:space="preserve">Net: expect a "solid-but-slowing" quarter. The report is less about the Q2 headline EPS beat (a modest one is likely) and more about</w:t>
      </w:r>
      <w:r>
        <w:t xml:space="preserve"> </w:t>
      </w:r>
      <w:r>
        <w:rPr>
          <w:b/>
          <w:bCs/>
        </w:rPr>
        <w:t xml:space="preserve">management's tone on the full-year organic trajectory, the margin cadence, and the AI/capital-return story</w:t>
      </w:r>
      <w:r>
        <w:t xml:space="preserve"> </w:t>
      </w:r>
      <w:r>
        <w:t xml:space="preserve">that underpins the premium multiple.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Preview based on MMC's Q1 2026 earnings call (April 16, 2026), Q2 2025 earnings release, and July 2026 pre-earnings market commentary. Consensus figures are Street estimates as of mid-July 2026 and may differ from final reported results.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2026-07-21T00:16:50Z</dcterms:created>
  <dcterms:modified xsi:type="dcterms:W3CDTF">2026-07-21T00:16:50Z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