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mrsh-earnings-predictions--2026-07-21"/>
    <w:p>
      <w:pPr>
        <w:pStyle w:val="Heading1"/>
      </w:pPr>
      <w:r>
        <w:t xml:space="preserve">MRSH Earnings Predictions — 2026-07-21</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MRSH</w:t>
            </w:r>
          </w:p>
        </w:tc>
        <w:tc>
          <w:tcPr/>
          <w:p>
            <w:pPr>
              <w:pStyle w:val="Compact"/>
            </w:pPr>
            <w:r>
              <w:t xml:space="preserve">Report</w:t>
            </w:r>
          </w:p>
        </w:tc>
        <w:tc>
          <w:tcPr/>
          <w:p>
            <w:pPr>
              <w:pStyle w:val="Compact"/>
            </w:pPr>
            <w:r>
              <w:t xml:space="preserve">Adjusted EPS (Q2 2026)</w:t>
            </w:r>
          </w:p>
        </w:tc>
        <w:tc>
          <w:tcPr/>
          <w:p>
            <w:pPr>
              <w:pStyle w:val="Compact"/>
            </w:pPr>
            <w:r>
              <w:t xml:space="preserve">BEAT</w:t>
            </w:r>
          </w:p>
        </w:tc>
        <w:tc>
          <w:tcPr/>
          <w:p>
            <w:pPr>
              <w:pStyle w:val="Compact"/>
            </w:pPr>
            <w:r>
              <w:t xml:space="preserve">pred ~$2.96 vs. cons $2.92</w:t>
            </w:r>
          </w:p>
        </w:tc>
        <w:tc>
          <w:tcPr/>
          <w:p>
            <w:pPr>
              <w:pStyle w:val="Compact"/>
            </w:pPr>
            <w:r>
              <w:t xml:space="preserve">MEDIUM</w:t>
            </w:r>
          </w:p>
        </w:tc>
      </w:tr>
      <w:tr>
        <w:tc>
          <w:tcPr/>
          <w:p>
            <w:pPr>
              <w:pStyle w:val="Compact"/>
            </w:pPr>
            <w:r>
              <w:t xml:space="preserve">MRSH</w:t>
            </w:r>
          </w:p>
        </w:tc>
        <w:tc>
          <w:tcPr/>
          <w:p>
            <w:pPr>
              <w:pStyle w:val="Compact"/>
            </w:pPr>
            <w:r>
              <w:t xml:space="preserve">Report</w:t>
            </w:r>
          </w:p>
        </w:tc>
        <w:tc>
          <w:tcPr/>
          <w:p>
            <w:pPr>
              <w:pStyle w:val="Compact"/>
            </w:pPr>
            <w:r>
              <w:t xml:space="preserve">Revenue (Q2 2026)</w:t>
            </w:r>
          </w:p>
        </w:tc>
        <w:tc>
          <w:tcPr/>
          <w:p>
            <w:pPr>
              <w:pStyle w:val="Compact"/>
            </w:pPr>
            <w:r>
              <w:t xml:space="preserve">IN-LINE</w:t>
            </w:r>
          </w:p>
        </w:tc>
        <w:tc>
          <w:tcPr/>
          <w:p>
            <w:pPr>
              <w:pStyle w:val="Compact"/>
            </w:pPr>
            <w:r>
              <w:t xml:space="preserve">pred ~$7.30B vs. cons $7.35B</w:t>
            </w:r>
          </w:p>
        </w:tc>
        <w:tc>
          <w:tcPr/>
          <w:p>
            <w:pPr>
              <w:pStyle w:val="Compact"/>
            </w:pPr>
            <w:r>
              <w:t xml:space="preserve">MEDIUM</w:t>
            </w:r>
          </w:p>
        </w:tc>
      </w:tr>
      <w:tr>
        <w:tc>
          <w:tcPr/>
          <w:p>
            <w:pPr>
              <w:pStyle w:val="Compact"/>
            </w:pPr>
            <w:r>
              <w:t xml:space="preserve">MRSH</w:t>
            </w:r>
          </w:p>
        </w:tc>
        <w:tc>
          <w:tcPr/>
          <w:p>
            <w:pPr>
              <w:pStyle w:val="Compact"/>
            </w:pPr>
            <w:r>
              <w:t xml:space="preserve">Report</w:t>
            </w:r>
          </w:p>
        </w:tc>
        <w:tc>
          <w:tcPr/>
          <w:p>
            <w:pPr>
              <w:pStyle w:val="Compact"/>
            </w:pPr>
            <w:r>
              <w:t xml:space="preserve">Underlying (organic) revenue growth (Q2 2026)</w:t>
            </w:r>
          </w:p>
        </w:tc>
        <w:tc>
          <w:tcPr/>
          <w:p>
            <w:pPr>
              <w:pStyle w:val="Compact"/>
            </w:pPr>
            <w:r>
              <w:t xml:space="preserve">MISS</w:t>
            </w:r>
          </w:p>
        </w:tc>
        <w:tc>
          <w:tcPr/>
          <w:p>
            <w:pPr>
              <w:pStyle w:val="Compact"/>
            </w:pPr>
            <w:r>
              <w:t xml:space="preserve">pred ~3.2% vs. cons 3.6%</w:t>
            </w:r>
          </w:p>
        </w:tc>
        <w:tc>
          <w:tcPr/>
          <w:p>
            <w:pPr>
              <w:pStyle w:val="Compact"/>
            </w:pPr>
            <w:r>
              <w:t xml:space="preserve">MEDIUM</w:t>
            </w:r>
          </w:p>
        </w:tc>
      </w:tr>
      <w:tr>
        <w:tc>
          <w:tcPr/>
          <w:p>
            <w:pPr>
              <w:pStyle w:val="Compact"/>
            </w:pPr>
            <w:r>
              <w:t xml:space="preserve">MRSH</w:t>
            </w:r>
          </w:p>
        </w:tc>
        <w:tc>
          <w:tcPr/>
          <w:p>
            <w:pPr>
              <w:pStyle w:val="Compact"/>
            </w:pPr>
            <w:r>
              <w:t xml:space="preserve">Guide</w:t>
            </w:r>
          </w:p>
        </w:tc>
        <w:tc>
          <w:tcPr/>
          <w:p>
            <w:pPr>
              <w:pStyle w:val="Compact"/>
            </w:pPr>
            <w:r>
              <w:t xml:space="preserve">FY2026 Adjusted EPS</w:t>
            </w:r>
          </w:p>
        </w:tc>
        <w:tc>
          <w:tcPr/>
          <w:p>
            <w:pPr>
              <w:pStyle w:val="Compact"/>
            </w:pPr>
            <w:r>
              <w:t xml:space="preserve">UNCHANGED</w:t>
            </w:r>
          </w:p>
        </w:tc>
        <w:tc>
          <w:tcPr/>
          <w:p>
            <w:pPr>
              <w:pStyle w:val="Compact"/>
            </w:pPr>
            <w:r>
              <w:t xml:space="preserve">guide ~$10.35 vs. cons $10.38 (FY2026)</w:t>
            </w:r>
          </w:p>
        </w:tc>
        <w:tc>
          <w:tcPr/>
          <w:p>
            <w:pPr>
              <w:pStyle w:val="Compact"/>
            </w:pPr>
            <w:r>
              <w:t xml:space="preserve">MEDIUM</w:t>
            </w:r>
          </w:p>
        </w:tc>
      </w:tr>
      <w:tr>
        <w:tc>
          <w:tcPr/>
          <w:p>
            <w:pPr>
              <w:pStyle w:val="Compact"/>
            </w:pPr>
            <w:r>
              <w:t xml:space="preserve">MRSH</w:t>
            </w:r>
          </w:p>
        </w:tc>
        <w:tc>
          <w:tcPr/>
          <w:p>
            <w:pPr>
              <w:pStyle w:val="Compact"/>
            </w:pPr>
            <w:r>
              <w:t xml:space="preserve">Guide</w:t>
            </w:r>
          </w:p>
        </w:tc>
        <w:tc>
          <w:tcPr/>
          <w:p>
            <w:pPr>
              <w:pStyle w:val="Compact"/>
            </w:pPr>
            <w:r>
              <w:t xml:space="preserve">Fiduciary interest income</w:t>
            </w:r>
          </w:p>
        </w:tc>
        <w:tc>
          <w:tcPr/>
          <w:p>
            <w:pPr>
              <w:pStyle w:val="Compact"/>
            </w:pPr>
            <w:r>
              <w:t xml:space="preserve">LOWER</w:t>
            </w:r>
          </w:p>
        </w:tc>
        <w:tc>
          <w:tcPr/>
          <w:p>
            <w:pPr>
              <w:pStyle w:val="Compact"/>
            </w:pPr>
            <w:r>
              <w:t xml:space="preserve">guide ~$75M vs. cons $80M (Q3 2026)</w:t>
            </w:r>
          </w:p>
        </w:tc>
        <w:tc>
          <w:tcPr/>
          <w:p>
            <w:pPr>
              <w:pStyle w:val="Compact"/>
            </w:pPr>
            <w:r>
              <w:t xml:space="preserve">MEDIUM</w:t>
            </w:r>
          </w:p>
        </w:tc>
      </w:tr>
      <w:tr>
        <w:tc>
          <w:tcPr/>
          <w:p>
            <w:pPr>
              <w:pStyle w:val="Compact"/>
            </w:pPr>
            <w:r>
              <w:t xml:space="preserve">MRSH</w:t>
            </w:r>
          </w:p>
        </w:tc>
        <w:tc>
          <w:tcPr/>
          <w:p>
            <w:pPr>
              <w:pStyle w:val="Compact"/>
            </w:pPr>
            <w:r>
              <w:t xml:space="preserve">Guide</w:t>
            </w:r>
          </w:p>
        </w:tc>
        <w:tc>
          <w:tcPr/>
          <w:p>
            <w:pPr>
              <w:pStyle w:val="Compact"/>
            </w:pPr>
            <w:r>
              <w:t xml:space="preserve">Full-year margin expansion (19th consecutive year)</w:t>
            </w:r>
          </w:p>
        </w:tc>
        <w:tc>
          <w:tcPr/>
          <w:p>
            <w:pPr>
              <w:pStyle w:val="Compact"/>
            </w:pPr>
            <w:r>
              <w:t xml:space="preserve">LOWER</w:t>
            </w:r>
          </w:p>
        </w:tc>
        <w:tc>
          <w:tcPr/>
          <w:p>
            <w:pPr>
              <w:pStyle w:val="Compact"/>
            </w:pPr>
            <w:r>
              <w:t xml:space="preserve">guide ~+25-30bps vs. cons ~+40bps (FY2026)</w:t>
            </w:r>
          </w:p>
        </w:tc>
        <w:tc>
          <w:tcPr/>
          <w:p>
            <w:pPr>
              <w:pStyle w:val="Compact"/>
            </w:pPr>
            <w:r>
              <w:t xml:space="preserve">LOW</w:t>
            </w:r>
          </w:p>
        </w:tc>
      </w:tr>
      <w:tr>
        <w:tc>
          <w:tcPr/>
          <w:p>
            <w:pPr>
              <w:pStyle w:val="Compact"/>
            </w:pPr>
            <w:r>
              <w:t xml:space="preserve">MRSH</w:t>
            </w:r>
          </w:p>
        </w:tc>
        <w:tc>
          <w:tcPr/>
          <w:p>
            <w:pPr>
              <w:pStyle w:val="Compact"/>
            </w:pPr>
            <w:r>
              <w:t xml:space="preserve">Return</w:t>
            </w:r>
          </w:p>
        </w:tc>
        <w:tc>
          <w:tcPr/>
          <w:p>
            <w:pPr>
              <w:pStyle w:val="Compact"/>
            </w:pPr>
            <w:r>
              <w:t xml:space="preserve">Day-1 residual (stock − beta × S&amp;P 500)</w:t>
            </w:r>
          </w:p>
        </w:tc>
        <w:tc>
          <w:tcPr/>
          <w:p>
            <w:pPr>
              <w:pStyle w:val="Compact"/>
            </w:pPr>
            <w:r>
              <w:t xml:space="preserve">-1.8%</w:t>
            </w:r>
          </w:p>
        </w:tc>
        <w:tc>
          <w:tcPr/>
          <w:p>
            <w:pPr>
              <w:pStyle w:val="Compact"/>
            </w:pPr>
            <w:r>
              <w:t xml:space="preserve">—</w:t>
            </w:r>
          </w:p>
        </w:tc>
        <w:tc>
          <w:tcPr/>
          <w:p>
            <w:pPr>
              <w:pStyle w:val="Compact"/>
            </w:pPr>
            <w:r>
              <w:t xml:space="preserve">MEDIUM</w:t>
            </w:r>
          </w:p>
        </w:tc>
      </w:tr>
      <w:tr>
        <w:tc>
          <w:tcPr/>
          <w:p>
            <w:pPr>
              <w:pStyle w:val="Compact"/>
            </w:pPr>
            <w:r>
              <w:t xml:space="preserve">MRSH</w:t>
            </w:r>
          </w:p>
        </w:tc>
        <w:tc>
          <w:tcPr/>
          <w:p>
            <w:pPr>
              <w:pStyle w:val="Compact"/>
            </w:pPr>
            <w:r>
              <w:t xml:space="preserve">Return</w:t>
            </w:r>
          </w:p>
        </w:tc>
        <w:tc>
          <w:tcPr/>
          <w:p>
            <w:pPr>
              <w:pStyle w:val="Compact"/>
            </w:pPr>
            <w:r>
              <w:t xml:space="preserve">5-day cumulative residual</w:t>
            </w:r>
          </w:p>
        </w:tc>
        <w:tc>
          <w:tcPr/>
          <w:p>
            <w:pPr>
              <w:pStyle w:val="Compact"/>
            </w:pPr>
            <w:r>
              <w:t xml:space="preserve">-3.3% (FADE)</w:t>
            </w:r>
          </w:p>
        </w:tc>
        <w:tc>
          <w:tcPr/>
          <w:p>
            <w:pPr>
              <w:pStyle w:val="Compact"/>
            </w:pPr>
            <w:r>
              <w:t xml:space="preserve">A modest EPS beat driven largely by cost discipline/Thrive savings and fiduciary income timing masks a broader organic growth deceleration story (Guy Carpenter soft comps, commercial P&amp;C rates still falling ~5%, Marsh Risk growth stalling), which analysts will read through into FY2026/2027 model cuts. Back-half-weighted margin guidance and continued fiduciary income decline give the sell-side room to trim out-period underlying growth and EPS estimates even after an in-line-to-slight-beat print, while the unresolved Greensill litigation overhang and mixed capital deployment commentary add incremental uncertainty. This combination typically produces an initial modest negative reaction that fades further over the following days as estimate revisions catch up, rather than stabilizing or reversing higher.</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2026-07-21T00:23:24Z</dcterms:created>
  <dcterms:modified xsi:type="dcterms:W3CDTF">2026-07-21T00:23:24Z</dcterms:modified>
</cp:coreProperties>
</file>

<file path=docProps/custom.xml><?xml version="1.0" encoding="utf-8"?>
<Properties xmlns="http://schemas.openxmlformats.org/officeDocument/2006/custom-properties" xmlns:vt="http://schemas.openxmlformats.org/officeDocument/2006/docPropsVTypes"/>
</file>