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Good — MRSH corresponds to MMC (Marsh &amp; McLennan) in the documents database. Let me gather the latest earnings call transcript (2026Q1), the most recent 10-Q, and other relevant materials.# Marsh &amp; McLennan Companies (MMC/MRSH) — Q2 2026 Earnings Preview</w:t>
      </w:r>
    </w:p>
    <w:p>
      <w:pPr>
        <w:pStyle w:val="BodyText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July 21, 2026 (before market open) |</w:t>
      </w:r>
      <w:r>
        <w:t xml:space="preserve"> </w:t>
      </w:r>
      <w:r>
        <w:rPr>
          <w:b/>
          <w:bCs/>
        </w:rPr>
        <w:t xml:space="preserve">Earnings Call:</w:t>
      </w:r>
      <w:r>
        <w:t xml:space="preserve"> </w:t>
      </w:r>
      <w:r>
        <w:t xml:space="preserve">8:30 a.m. ET</w:t>
      </w:r>
    </w:p>
    <w:p>
      <w:r>
        <w:pict>
          <v:rect style="width:0;height:1.5pt" o:hralign="center" o:hrstd="t" o:hr="t"/>
        </w:pict>
      </w:r>
    </w:p>
    <w:bookmarkStart w:id="9" w:name="X42f234c597353bb2621c6b560e58ba5bb2a4b1c"/>
    <w:p>
      <w:pPr>
        <w:pStyle w:val="Heading2"/>
      </w:pPr>
      <w:r>
        <w:t xml:space="preserve">1. Setting the Scene</w:t>
      </w:r>
    </w:p>
    <w:p>
      <w:pPr>
        <w:pStyle w:val="FirstParagraph"/>
      </w:pPr>
      <w:r>
        <w:t xml:space="preserve">Marsh &amp; McLennan — the parent of Marsh, Guy Carpenter, Mercer, and Oliver Wyman/Marsh Management Consulting — heads into its Q2 print as the insurance broker group grapples with a decelerating property-casualty pricing cycle. The stock has been volatile in 2026, falling from roughly $190 in early February to a 2026 low near $157 in early June before recovering to roughly $182 heading into the print — essentially flat year-to-date but well off its highs, reflecting investor anxiety about the organic growth outlook as commercial insurance and reinsurance rates keep falling.</w:t>
      </w:r>
    </w:p>
    <w:p>
      <w:pPr>
        <w:pStyle w:val="BodyText"/>
      </w:pPr>
      <w:r>
        <w:t xml:space="preserve">Sell-side sentiment is mixed: Morgan Stanley trimmed its price target to $175 from $180 in early July, while UBS has reiterated a Buy rating, and the broader consensus rating sits around "Hold" with an average street price target in the</w:t>
      </w:r>
      <w:r>
        <w:t xml:space="preserve"> </w:t>
      </w:r>
      <m:oMath>
        <m:r>
          <m:t>200</m:t>
        </m:r>
        <m:r>
          <m:rPr>
            <m:sty m:val="p"/>
          </m:rPr>
          <m:t>−</m:t>
        </m:r>
      </m:oMath>
      <w:r>
        <w:t xml:space="preserve">210 area — implying analysts see upside from current levels even as near-term estimates have drifted lower (Zacks noted the Q2 EPS estimate has seen three downward revisions and no upward revisions over the past 60 days).</w:t>
      </w:r>
    </w:p>
    <w:bookmarkEnd w:id="9"/>
    <w:bookmarkStart w:id="10" w:name="X27a4c58578fee4265d9ee117827a871b6c23122"/>
    <w:p>
      <w:pPr>
        <w:pStyle w:val="Heading2"/>
      </w:pPr>
      <w:r>
        <w:t xml:space="preserve">2. Consensus Expectations for Q2 2026</w:t>
      </w:r>
    </w:p>
    <w:p>
      <w:pPr>
        <w:pStyle w:val="FirstParagraph"/>
      </w:pPr>
      <w:r>
        <w:t xml:space="preserve">Estimates vary slightly by source, but the general range going into the print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(range across sources)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2.88</m:t>
              </m:r>
              <m:r>
                <m:rPr>
                  <m:sty m:val="p"/>
                </m:rPr>
                <m:t>–</m:t>
              </m:r>
            </m:oMath>
            <w:r>
              <w:t xml:space="preserve">2.96</w:t>
            </w:r>
          </w:p>
        </w:tc>
        <w:tc>
          <w:tcPr/>
          <w:p>
            <w:pPr>
              <w:pStyle w:val="Compact"/>
            </w:pPr>
            <w:r>
              <w:t xml:space="preserve">$2.72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7.27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7.44B</w:t>
            </w:r>
          </w:p>
        </w:tc>
        <w:tc>
          <w:tcPr/>
          <w:p>
            <w:pPr>
              <w:pStyle w:val="Compact"/>
            </w:pPr>
            <w:r>
              <w:t xml:space="preserve">$6.97B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Underlying (organic) revenue growth</w:t>
            </w:r>
          </w:p>
        </w:tc>
        <w:tc>
          <w:tcPr/>
          <w:p>
            <w:pPr>
              <w:pStyle w:val="Compact"/>
            </w:pPr>
            <w:r>
              <w:t xml:space="preserve">~3.6% (RIS ~3.1%)</w:t>
            </w:r>
          </w:p>
        </w:tc>
        <w:tc>
          <w:tcPr/>
          <w:p>
            <w:pPr>
              <w:pStyle w:val="Compact"/>
            </w:pPr>
            <w:r>
              <w:t xml:space="preserve">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~29.3%</w:t>
            </w:r>
          </w:p>
        </w:tc>
        <w:tc>
          <w:tcPr/>
          <w:p>
            <w:pPr>
              <w:pStyle w:val="Compact"/>
            </w:pPr>
            <w:r>
              <w:t xml:space="preserve">29.5%</w:t>
            </w:r>
          </w:p>
        </w:tc>
      </w:tr>
    </w:tbl>
    <w:p>
      <w:pPr>
        <w:pStyle w:val="BodyText"/>
      </w:pPr>
      <w:r>
        <w:t xml:space="preserve">For full-year 2026, the Street models adjusted EPS of roughly</w:t>
      </w:r>
      <w:r>
        <w:t xml:space="preserve"> </w:t>
      </w:r>
      <m:oMath>
        <m:r>
          <m:t>10.37</m:t>
        </m:r>
        <m:r>
          <m:rPr>
            <m:sty m:val="p"/>
          </m:rPr>
          <m:t>–</m:t>
        </m:r>
      </m:oMath>
      <w:r>
        <w:t xml:space="preserve">10.38, up ~6.5% from 2025's</w:t>
      </w:r>
      <w:r>
        <w:t xml:space="preserve"> </w:t>
      </w:r>
      <m:oMath>
        <m:r>
          <m:t>9.75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2027</m:t>
        </m:r>
        <m:r>
          <m:t>E</m:t>
        </m:r>
        <m:r>
          <m:t>P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f</m:t>
        </m:r>
        <m:r>
          <m:t>u</m:t>
        </m:r>
        <m:r>
          <m:t>r</m:t>
        </m:r>
        <m:r>
          <m:t>t</m:t>
        </m:r>
        <m:r>
          <m:t>h</m:t>
        </m:r>
        <m:r>
          <m:t>e</m:t>
        </m:r>
        <m:r>
          <m:t>r</m:t>
        </m:r>
        <m:r>
          <m:t>t</m:t>
        </m:r>
        <m:r>
          <m:t>o</m:t>
        </m:r>
        <m:r>
          <m:t> </m:t>
        </m:r>
      </m:oMath>
      <w:r>
        <w:t xml:space="preserve">11.25 (+8.4%).</w:t>
      </w:r>
    </w:p>
    <w:bookmarkEnd w:id="10"/>
    <w:bookmarkStart w:id="11" w:name="Xb0696b1b980aa6c8fea25830c84411cb638ecf0"/>
    <w:p>
      <w:pPr>
        <w:pStyle w:val="Heading2"/>
      </w:pPr>
      <w:r>
        <w:t xml:space="preserve">3. What to Watch: Key Themes from Q1</w:t>
      </w:r>
    </w:p>
    <w:p>
      <w:pPr>
        <w:pStyle w:val="FirstParagraph"/>
      </w:pPr>
      <w:r>
        <w:t xml:space="preserve">The Q1 2026 report (revenue +8% reported/+4% underlying, adjusted EPS +8% to $3.29, margin flat at 31.8%) set the tone for the year, and several threads carry directly into Q2:</w:t>
      </w:r>
    </w:p>
    <w:p>
      <w:pPr>
        <w:pStyle w:val="BodyText"/>
      </w:pPr>
      <w:r>
        <w:rPr>
          <w:b/>
          <w:bCs/>
        </w:rPr>
        <w:t xml:space="preserve">a) Decelerating pricing is the central swing factor.</w:t>
      </w:r>
      <w:r>
        <w:t xml:space="preserve"> </w:t>
      </w:r>
      <w:r>
        <w:t xml:space="preserve">Management noted that in Q1, primary commercial insurance rates fell 5% globally (driven by a 9% drop in property), while reinsurance conditions remained soft — U.S. property-cat reinsurance rates were down 15-20% at the April 1 renewal, "a slight acceleration from the January 1 renewal season." Guy Carpenter grew just 2% underlying in Q1 against a tough prior-year comp, and CEO John Doyle flagged that 2026 is "not likely to be Guy Carpenter's best growth year." Investors should watch whether Marsh Risk's sequential improvement (accelerating to 4% underlying in Q1) continued, and whether Guy Carpenter stabilized or slipped further given continued cat-bond issuance and ample reinsurance capacity.</w:t>
      </w:r>
    </w:p>
    <w:p>
      <w:pPr>
        <w:pStyle w:val="BodyText"/>
      </w:pPr>
      <w:r>
        <w:rPr>
          <w:b/>
          <w:bCs/>
        </w:rPr>
        <w:t xml:space="preserve">b) Consulting (Mercer/Oliver Wyman) has been the relative bright spot.</w:t>
      </w:r>
      <w:r>
        <w:t xml:space="preserve"> </w:t>
      </w:r>
      <w:r>
        <w:t xml:space="preserve">Consulting grew 5% underlying in Q1 (Mercer +5%, driven by Health +6% and Wealth +5% on AUM growth to $727B; Oliver Wyman/Marsh Management Consulting +6%), partially offset by continued softness in Mercer's Career project work. This segment's momentum, along with the pending AltamarCAM acquisition (a ~€20 billion AUM private-markets specialist being acquired by Mercer, expected to close in H2 2026), is central to the diversification story management is emphasizing as a hedge against P&amp;C cyclicality.</w:t>
      </w:r>
    </w:p>
    <w:p>
      <w:pPr>
        <w:pStyle w:val="BodyText"/>
      </w:pPr>
      <w:r>
        <w:rPr>
          <w:b/>
          <w:bCs/>
        </w:rPr>
        <w:t xml:space="preserve">c) Fiduciary interest income and rates remain a headwind.</w:t>
      </w:r>
      <w:r>
        <w:t xml:space="preserve"> </w:t>
      </w:r>
      <w:r>
        <w:t xml:space="preserve">Management guided Q2 fiduciary interest income to approximately $80 million, continuing the year-over-year decline (Q1 was down $18 million YoY) as interest rates fall — a modest but persistent drag on RIS profitability that investors will want to see quantified again this quarter.</w:t>
      </w:r>
    </w:p>
    <w:p>
      <w:pPr>
        <w:pStyle w:val="BodyText"/>
      </w:pPr>
      <w:r>
        <w:rPr>
          <w:b/>
          <w:bCs/>
        </w:rPr>
        <w:t xml:space="preserve">d) Margin expansion and the "19th consecutive year" narrative.</w:t>
      </w:r>
      <w:r>
        <w:t xml:space="preserve"> </w:t>
      </w:r>
      <w:r>
        <w:t xml:space="preserve">Management reiterated its commitment to margin expansion for a 19th straight year in 2026, explicitly guiding that "more margin expansion" would come in the second half than the first half — meaning Q2 margin comparisons could still look modest even if the full-year trajectory remains intact. The Thrive efficiency program (targeting</w:t>
      </w:r>
      <w: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t>a</m:t>
        </m:r>
        <m:r>
          <m:t>g</m:t>
        </m:r>
        <m:r>
          <m:t>a</m:t>
        </m:r>
        <m:r>
          <m:t>i</m:t>
        </m:r>
        <m:r>
          <m:t>n</m:t>
        </m:r>
        <m:r>
          <m:t>s</m:t>
        </m:r>
        <m:r>
          <m:t>t</m:t>
        </m:r>
        <m:r>
          <m:t> </m:t>
        </m:r>
      </m:oMath>
      <w:r>
        <w:t xml:space="preserve">500 million of charges, with AI-driven automation in the new Business &amp; Client Services unit as a key lever) is the mechanism management points to for sustaining margins even as top-line growth slows.</w:t>
      </w:r>
    </w:p>
    <w:p>
      <w:pPr>
        <w:pStyle w:val="BodyText"/>
      </w:pPr>
      <w:r>
        <w:rPr>
          <w:b/>
          <w:bCs/>
        </w:rPr>
        <w:t xml:space="preserve">e) The Greensill litigation overhang.</w:t>
      </w:r>
      <w:r>
        <w:t xml:space="preserve"> </w:t>
      </w:r>
      <w:r>
        <w:t xml:space="preserve">Q1 included a $425 million charge tied to Australian Greensill Capital-related litigation (Marsh served as Greensill's insurance broker starting in 2014), following court-sponsored mediation; claims in the broader case reportedly total around $5 billion plus interest and costs. Since this remains active litigation, investors should watch for any incremental disclosure, reserve changes, or commentary in the Q2 10-Q and call, even though management has said it can't comment extensively while proceedings are ongoing.</w:t>
      </w:r>
    </w:p>
    <w:p>
      <w:pPr>
        <w:pStyle w:val="BodyText"/>
      </w:pPr>
      <w:r>
        <w:rPr>
          <w:b/>
          <w:bCs/>
        </w:rPr>
        <w:t xml:space="preserve">f) Capital deployment / M&amp;A vs. buybacks.</w:t>
      </w:r>
      <w:r>
        <w:t xml:space="preserve"> </w:t>
      </w:r>
      <w:r>
        <w:t xml:space="preserve">MMC repurchased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i</m:t>
        </m:r>
        <m:r>
          <m:t>t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p</m:t>
        </m:r>
        <m:r>
          <m:t>l</m:t>
        </m:r>
        <m:r>
          <m:t>a</m:t>
        </m:r>
        <m:r>
          <m:t>n</m:t>
        </m:r>
        <m:r>
          <m:t>s</m:t>
        </m:r>
        <m:r>
          <m:t>t</m:t>
        </m:r>
        <m:r>
          <m:t>o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 </m:t>
        </m:r>
      </m:oMath>
      <w:r>
        <w:t xml:space="preserve">5 billion of capital in 2026 across dividends, M&amp;A, and buybacks. With the stock having pulled back meaningfully from its 2026 highs, watch for commentary on whether buyback pace stayed elevated in Q2 or whether M&amp;A (beyond AltamarCAM) absorbed more capital — CFO Mark McGivney has said buyback levels will flex depending on how the M&amp;A pipeline develops.</w:t>
      </w:r>
    </w:p>
    <w:p>
      <w:pPr>
        <w:pStyle w:val="BodyText"/>
      </w:pPr>
      <w:r>
        <w:rPr>
          <w:b/>
          <w:bCs/>
        </w:rPr>
        <w:t xml:space="preserve">g) AI positioning.</w:t>
      </w:r>
      <w:r>
        <w:t xml:space="preserve"> </w:t>
      </w:r>
      <w:r>
        <w:t xml:space="preserve">Management has framed AI as a three-pillar opportunity (growth via new AI-enabled products like Aida, Sentrisk, GC QuoteBox, Mercer Fiber; productivity; and efficiency via the BCS unit), and used the Q1 call to push back on investor concerns about AI-driven fee/margin disintermediation. Expect continued emphasis on this theme, as well as further specifics on tools like the "Marsh Risk Cortex" analytics platform slated for rollout.</w:t>
      </w:r>
    </w:p>
    <w:bookmarkEnd w:id="11"/>
    <w:bookmarkStart w:id="12" w:name="Xaf097f6805630516e7fcea67d0f906ead9e095d"/>
    <w:p>
      <w:pPr>
        <w:pStyle w:val="Heading2"/>
      </w:pPr>
      <w:r>
        <w:t xml:space="preserve">4. Macro Backdrop</w:t>
      </w:r>
    </w:p>
    <w:p>
      <w:pPr>
        <w:pStyle w:val="FirstParagraph"/>
      </w:pPr>
      <w:r>
        <w:t xml:space="preserve">Beyond company-specific drivers, results will be read against a mixed macro tape: ongoing Middle East geopolitical tension (which management said has had limited direct impact on the insurance book, mainly affecting marine/war-risk pricing), still-elevated liability and medical cost inflation pressuring the "cost of risk" narrative that underpins long-term demand for Marsh's advisory services, and a broader insurance-broker peer group where Aon (Q1 2026: 5% organic growth, adjusted EPS +14%) and WTW (Q1 2026: 3% organic growth) have shown a similar pattern of solid execution amid a softening rate environment.</w:t>
      </w:r>
    </w:p>
    <w:bookmarkEnd w:id="12"/>
    <w:bookmarkStart w:id="13" w:name="X1dac5d2f16b90bede4e2cc816414412e73d3e91"/>
    <w:p>
      <w:pPr>
        <w:pStyle w:val="Heading2"/>
      </w:pPr>
      <w:r>
        <w:t xml:space="preserve">5. Bottom Line for Investors</w:t>
      </w:r>
    </w:p>
    <w:p>
      <w:pPr>
        <w:pStyle w:val="FirstParagraph"/>
      </w:pPr>
      <w:r>
        <w:t xml:space="preserve">The setup into Q2 is one of "steady execution, decelerating tailwinds." Consensus implies roughly 6-9% adjusted EPS growth and mid-single-digit underlying revenue growth — consistent with management's full-year framework of underlying growth "similar to 2025" plus continued (back-half-weighted) margin expansion. The key swing factors to watch on the print and call are: (1) whether Marsh Risk's organic growth held up or decelerated further as commercial rates keep falling; (2) whether Guy Carpenter stabilized after a soft Q1; (3) any incremental Greensill disclosure; (4) capital deployment pace (buybacks vs. M&amp;A, including AltamarCAM timing); and (5) fresh detail on margin cadence and Thrive/AI savings that underpin the "19 consecutive years of margin expansion" claim. Given the stock's pullback from 2026 highs and mixed analyst price-target action, the market appears to be pricing in some organic growth deceleration already — making the magnitude of any beat/miss on underlying growth and margin trajectory the most market-moving variables tomorrow.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2026-07-21T00:23:24Z</dcterms:created>
  <dcterms:modified xsi:type="dcterms:W3CDTF">2026-07-21T00:23:24Z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