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rsh-earnings-predictions--2026-07-21"/>
    <w:p>
      <w:pPr>
        <w:pStyle w:val="Heading1"/>
      </w:pPr>
      <w:r>
        <w:t xml:space="preserve">MRSH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underlying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~3.7% vs. cons 3.6%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Risk &amp; Insurance underlying revenue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~3.2% vs. cons 3.1%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~29.4% vs. cons 29.26%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Underlying revenue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~4.0% vs. cons 3.8%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operating 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~20 bps vs. cons 15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Fiduciary interest income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~$75M vs. cons $78M (2026Q3)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MRSH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+0.6% (FADE)</w:t>
            </w:r>
          </w:p>
        </w:tc>
        <w:tc>
          <w:tcPr/>
          <w:p>
            <w:pPr>
              <w:pStyle w:val="Compact"/>
            </w:pPr>
            <w:r>
              <w:t xml:space="preserve">The initial relief from pred ~3.7% underlying growth versus 3.6% consensus should fade as guide ~$75M of Q3 fiduciary interest income versus $78M consensus and continued Guy Carpenter pricing pressure limit out-period estimate revisions.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2026-07-21T00:13:45Z</dcterms:created>
  <dcterms:modified xsi:type="dcterms:W3CDTF">2026-07-21T00:13:45Z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