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mrsh-2026-q2-earnings-preview"/>
    <w:p>
      <w:pPr>
        <w:pStyle w:val="Heading1"/>
      </w:pPr>
      <w:r>
        <w:t xml:space="preserve">MRSH 2026 Q2 Earnings Preview</w:t>
      </w:r>
    </w:p>
    <w:p>
      <w:pPr>
        <w:pStyle w:val="BlockText"/>
      </w:pPr>
      <w:r>
        <w:rPr>
          <w:b/>
          <w:bCs/>
        </w:rPr>
        <w:t xml:space="preserve">Timing note:</w:t>
      </w:r>
      <w:r>
        <w:t xml:space="preserve"> </w:t>
      </w:r>
      <w:r>
        <w:t xml:space="preserve">Marsh says it will release results</w:t>
      </w:r>
      <w:r>
        <w:t xml:space="preserve"> </w:t>
      </w:r>
      <w:r>
        <w:rPr>
          <w:b/>
          <w:bCs/>
        </w:rPr>
        <w:t xml:space="preserve">Tuesday, July 21, 2026, before the U.S. market opens</w:t>
      </w:r>
      <w:r>
        <w:t xml:space="preserve">, followed by its earnings call at</w:t>
      </w:r>
      <w:r>
        <w:t xml:space="preserve"> </w:t>
      </w:r>
      <w:r>
        <w:rPr>
          <w:b/>
          <w:bCs/>
        </w:rPr>
        <w:t xml:space="preserve">8:30 a.m. EDT</w:t>
      </w:r>
      <w:r>
        <w:t xml:space="preserve">. Given the stated current date, the report is scheduled for</w:t>
      </w:r>
      <w:r>
        <w:t xml:space="preserve"> </w:t>
      </w:r>
      <w:r>
        <w:rPr>
          <w:b/>
          <w:bCs/>
        </w:rPr>
        <w:t xml:space="preserve">today, July 21—not tomorrow</w:t>
      </w:r>
      <w:r>
        <w:t xml:space="preserve">.</w:t>
      </w:r>
    </w:p>
    <w:bookmarkStart w:id="9" w:name="investment-setup"/>
    <w:p>
      <w:pPr>
        <w:pStyle w:val="Heading2"/>
      </w:pPr>
      <w:r>
        <w:t xml:space="preserve">Investment setup</w:t>
      </w:r>
    </w:p>
    <w:p>
      <w:pPr>
        <w:pStyle w:val="FirstParagraph"/>
      </w:pPr>
      <w:r>
        <w:t xml:space="preserve">Marsh enters Q2 with a familiar tension: its diversified, fee-based model continues to produce resilient earnings, but falling commercial insurance and reinsurance prices are making organic growth harder to sustain.</w:t>
      </w:r>
    </w:p>
    <w:p>
      <w:pPr>
        <w:pStyle w:val="BodyText"/>
      </w:pPr>
      <w:r>
        <w:t xml:space="preserve">The Street’s expectations appear achievable but leave limited room for deterioration: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Q2 metric</w:t>
            </w:r>
          </w:p>
        </w:tc>
        <w:tc>
          <w:tcPr/>
          <w:p>
            <w:pPr>
              <w:pStyle w:val="Compact"/>
              <w:jc w:val="right"/>
            </w:pPr>
            <w:r>
              <w:t xml:space="preserve">Consensus / reference point</w:t>
            </w:r>
          </w:p>
        </w:tc>
      </w:tr>
      <w:tr>
        <w:tc>
          <w:tcPr/>
          <w:p>
            <w:pPr>
              <w:pStyle w:val="Compact"/>
            </w:pPr>
            <w:r>
              <w:t xml:space="preserve">Adjusted EPS</w:t>
            </w:r>
          </w:p>
        </w:tc>
        <w:tc>
          <w:tcPr/>
          <w:p>
            <w:pPr>
              <w:pStyle w:val="Compact"/>
              <w:jc w:val="right"/>
            </w:pPr>
            <w:r>
              <w:rPr>
                <w:b/>
                <w:bCs/>
              </w:rPr>
              <w:t xml:space="preserve">$2.90</w:t>
            </w:r>
          </w:p>
        </w:tc>
      </w:tr>
      <w:tr>
        <w:tc>
          <w:tcPr/>
          <w:p>
            <w:pPr>
              <w:pStyle w:val="Compact"/>
            </w:pPr>
            <w:r>
              <w:t xml:space="preserve">Adjusted EPS growth</w:t>
            </w:r>
          </w:p>
        </w:tc>
        <w:tc>
          <w:tcPr/>
          <w:p>
            <w:pPr>
              <w:pStyle w:val="Compact"/>
              <w:jc w:val="right"/>
            </w:pPr>
            <w:r>
              <w:rPr>
                <w:b/>
                <w:bCs/>
              </w:rPr>
              <w:t xml:space="preserve">~7%</w:t>
            </w:r>
            <w:r>
              <w:t xml:space="preserve"> </w:t>
            </w:r>
            <w:r>
              <w:t xml:space="preserve">vs. $2.72 last year</w:t>
            </w:r>
          </w:p>
        </w:tc>
      </w:tr>
      <w:tr>
        <w:tc>
          <w:tcPr/>
          <w:p>
            <w:pPr>
              <w:pStyle w:val="Compact"/>
            </w:pPr>
            <w:r>
              <w:t xml:space="preserve">Underlying revenue growth</w:t>
            </w:r>
          </w:p>
        </w:tc>
        <w:tc>
          <w:tcPr/>
          <w:p>
            <w:pPr>
              <w:pStyle w:val="Compact"/>
              <w:jc w:val="right"/>
            </w:pPr>
            <w:r>
              <w:rPr>
                <w:b/>
                <w:bCs/>
              </w:rPr>
              <w:t xml:space="preserve">~3.6%</w:t>
            </w:r>
          </w:p>
        </w:tc>
      </w:tr>
      <w:tr>
        <w:tc>
          <w:tcPr/>
          <w:p>
            <w:pPr>
              <w:pStyle w:val="Compact"/>
            </w:pPr>
            <w:r>
              <w:t xml:space="preserve">Risk &amp; Insurance underlying growth</w:t>
            </w:r>
          </w:p>
        </w:tc>
        <w:tc>
          <w:tcPr/>
          <w:p>
            <w:pPr>
              <w:pStyle w:val="Compact"/>
              <w:jc w:val="right"/>
            </w:pPr>
            <w:r>
              <w:rPr>
                <w:b/>
                <w:bCs/>
              </w:rPr>
              <w:t xml:space="preserve">~3.1%</w:t>
            </w:r>
          </w:p>
        </w:tc>
      </w:tr>
      <w:tr>
        <w:tc>
          <w:tcPr/>
          <w:p>
            <w:pPr>
              <w:pStyle w:val="Compact"/>
            </w:pPr>
            <w:r>
              <w:t xml:space="preserve">Adjusted operating margin</w:t>
            </w:r>
          </w:p>
        </w:tc>
        <w:tc>
          <w:tcPr/>
          <w:p>
            <w:pPr>
              <w:pStyle w:val="Compact"/>
              <w:jc w:val="right"/>
            </w:pPr>
            <w:r>
              <w:rPr>
                <w:b/>
                <w:bCs/>
              </w:rPr>
              <w:t xml:space="preserve">29.26%</w:t>
            </w:r>
          </w:p>
        </w:tc>
      </w:tr>
      <w:tr>
        <w:tc>
          <w:tcPr/>
          <w:p>
            <w:pPr>
              <w:pStyle w:val="Compact"/>
            </w:pPr>
            <w:r>
              <w:t xml:space="preserve">Q2 2025 adjusted margin</w:t>
            </w:r>
          </w:p>
        </w:tc>
        <w:tc>
          <w:tcPr/>
          <w:p>
            <w:pPr>
              <w:pStyle w:val="Compact"/>
              <w:jc w:val="right"/>
            </w:pPr>
            <w:r>
              <w:rPr>
                <w:b/>
                <w:bCs/>
              </w:rPr>
              <w:t xml:space="preserve">29.5%</w:t>
            </w:r>
          </w:p>
        </w:tc>
      </w:tr>
    </w:tbl>
    <w:p>
      <w:pPr>
        <w:pStyle w:val="BodyText"/>
      </w:pPr>
      <w:r>
        <w:t xml:space="preserve">MRSH closed July 20 at</w:t>
      </w:r>
      <w:r>
        <w:t xml:space="preserve"> </w:t>
      </w:r>
      <w:r>
        <w:rPr>
          <w:b/>
          <w:bCs/>
        </w:rPr>
        <w:t xml:space="preserve">$182.13</w:t>
      </w:r>
      <w:r>
        <w:t xml:space="preserve">, approximately flat year to date. The stock has recovered about 14% from its May low but remains roughly 4% below its 2026 high. That creates a fairly balanced setup: expectations have reset from earlier in the year, but investors will still want evidence that organic growth is stabilizing and that margin expansion remains intact.</w:t>
      </w:r>
    </w:p>
    <w:bookmarkEnd w:id="9"/>
    <w:bookmarkStart w:id="10" w:name="X2a19636ccee84e695fffa99282018efaf96bce6"/>
    <w:p>
      <w:pPr>
        <w:pStyle w:val="Heading2"/>
      </w:pPr>
      <w:r>
        <w:t xml:space="preserve">The central question: Can execution offset the soft insurance cycle?</w:t>
      </w:r>
    </w:p>
    <w:p>
      <w:pPr>
        <w:pStyle w:val="FirstParagraph"/>
      </w:pPr>
      <w:r>
        <w:t xml:space="preserve">Commercial insurance pricing has moved decisively into negative territory. Marsh’s Q1 index showed:</w:t>
      </w:r>
    </w:p>
    <w:p>
      <w:pPr>
        <w:pStyle w:val="Compact"/>
        <w:numPr>
          <w:ilvl w:val="0"/>
          <w:numId w:val="1001"/>
        </w:numPr>
      </w:pPr>
      <w:r>
        <w:t xml:space="preserve">Global commercial rates down</w:t>
      </w:r>
      <w:r>
        <w:t xml:space="preserve"> </w:t>
      </w:r>
      <w:r>
        <w:rPr>
          <w:b/>
          <w:bCs/>
        </w:rPr>
        <w:t xml:space="preserve">5%</w:t>
      </w:r>
    </w:p>
    <w:p>
      <w:pPr>
        <w:pStyle w:val="Compact"/>
        <w:numPr>
          <w:ilvl w:val="0"/>
          <w:numId w:val="1001"/>
        </w:numPr>
      </w:pPr>
      <w:r>
        <w:t xml:space="preserve">Property rates down</w:t>
      </w:r>
      <w:r>
        <w:t xml:space="preserve"> </w:t>
      </w:r>
      <w:r>
        <w:rPr>
          <w:b/>
          <w:bCs/>
        </w:rPr>
        <w:t xml:space="preserve">9%</w:t>
      </w:r>
    </w:p>
    <w:p>
      <w:pPr>
        <w:pStyle w:val="Compact"/>
        <w:numPr>
          <w:ilvl w:val="0"/>
          <w:numId w:val="1001"/>
        </w:numPr>
      </w:pPr>
      <w:r>
        <w:t xml:space="preserve">Financial and professional lines down</w:t>
      </w:r>
      <w:r>
        <w:t xml:space="preserve"> </w:t>
      </w:r>
      <w:r>
        <w:rPr>
          <w:b/>
          <w:bCs/>
        </w:rPr>
        <w:t xml:space="preserve">5%</w:t>
      </w:r>
    </w:p>
    <w:p>
      <w:pPr>
        <w:pStyle w:val="Compact"/>
        <w:numPr>
          <w:ilvl w:val="0"/>
          <w:numId w:val="1001"/>
        </w:numPr>
      </w:pPr>
      <w:r>
        <w:t xml:space="preserve">Cyber down</w:t>
      </w:r>
      <w:r>
        <w:t xml:space="preserve"> </w:t>
      </w:r>
      <w:r>
        <w:rPr>
          <w:b/>
          <w:bCs/>
        </w:rPr>
        <w:t xml:space="preserve">5%</w:t>
      </w:r>
    </w:p>
    <w:p>
      <w:pPr>
        <w:pStyle w:val="Compact"/>
        <w:numPr>
          <w:ilvl w:val="0"/>
          <w:numId w:val="1001"/>
        </w:numPr>
      </w:pPr>
      <w:r>
        <w:t xml:space="preserve">Casualty up</w:t>
      </w:r>
      <w:r>
        <w:t xml:space="preserve"> </w:t>
      </w:r>
      <w:r>
        <w:rPr>
          <w:b/>
          <w:bCs/>
        </w:rPr>
        <w:t xml:space="preserve">3%</w:t>
      </w:r>
      <w:r>
        <w:t xml:space="preserve">, supported by an</w:t>
      </w:r>
      <w:r>
        <w:t xml:space="preserve"> </w:t>
      </w:r>
      <w:r>
        <w:rPr>
          <w:b/>
          <w:bCs/>
        </w:rPr>
        <w:t xml:space="preserve">18%</w:t>
      </w:r>
      <w:r>
        <w:t xml:space="preserve"> </w:t>
      </w:r>
      <w:r>
        <w:t xml:space="preserve">increase in U.S. excess casualty</w:t>
      </w:r>
    </w:p>
    <w:p>
      <w:pPr>
        <w:pStyle w:val="FirstParagraph"/>
      </w:pPr>
      <w:r>
        <w:t xml:space="preserve">Reinsurance conditions are similarly competitive. In Q1, management described 15%–20% rate reductions for many non-loss-affected property-catastrophe programs in the U.S. and Japan. It also warned that Guy Carpenter would probably not have its best growth year in 2026.</w:t>
      </w:r>
    </w:p>
    <w:p>
      <w:pPr>
        <w:pStyle w:val="BodyText"/>
      </w:pPr>
      <w:r>
        <w:t xml:space="preserve">The key offset is new business. Management reported rising new-business trends at Marsh Risk, double-digit new business in several U.S. specialties and every Guy Carpenter region, and continued strength in the middle market. Investors should therefore focus less on headline insurance rates and more on whether retention, exposure growth, new clients and additional coverage purchases are compensating for price declines.</w:t>
      </w:r>
    </w:p>
    <w:p>
      <w:pPr>
        <w:pStyle w:val="BodyText"/>
      </w:pPr>
      <w:r>
        <w:rPr>
          <w:b/>
          <w:bCs/>
        </w:rPr>
        <w:t xml:space="preserve">A consolidated underlying-growth result near 4% would be reassuring. A figure near or below 3% would raise concern that the soft market is overpowering new-business momentum.</w:t>
      </w:r>
    </w:p>
    <w:bookmarkEnd w:id="10"/>
    <w:bookmarkStart w:id="15" w:name="segment-scorecard"/>
    <w:p>
      <w:pPr>
        <w:pStyle w:val="Heading2"/>
      </w:pPr>
      <w:r>
        <w:t xml:space="preserve">Segment scorecard</w:t>
      </w:r>
    </w:p>
    <w:bookmarkStart w:id="11" w:name="Xa5bf0811a260d04417c7b199aaf622b8095d375"/>
    <w:p>
      <w:pPr>
        <w:pStyle w:val="Heading3"/>
      </w:pPr>
      <w:r>
        <w:t xml:space="preserve">1. Marsh Risk</w:t>
      </w:r>
    </w:p>
    <w:p>
      <w:pPr>
        <w:pStyle w:val="FirstParagraph"/>
      </w:pPr>
      <w:r>
        <w:t xml:space="preserve">Marsh Risk generated</w:t>
      </w:r>
      <w:r>
        <w:t xml:space="preserve"> </w:t>
      </w:r>
      <w:r>
        <w:rPr>
          <w:b/>
          <w:bCs/>
        </w:rPr>
        <w:t xml:space="preserve">4% underlying growth in Q1</w:t>
      </w:r>
      <w:r>
        <w:t xml:space="preserve">, including:</w:t>
      </w:r>
    </w:p>
    <w:p>
      <w:pPr>
        <w:pStyle w:val="Compact"/>
        <w:numPr>
          <w:ilvl w:val="0"/>
          <w:numId w:val="1002"/>
        </w:numPr>
      </w:pPr>
      <w:r>
        <w:t xml:space="preserve">U.S./Canada:</w:t>
      </w:r>
      <w:r>
        <w:t xml:space="preserve"> </w:t>
      </w:r>
      <w:r>
        <w:rPr>
          <w:b/>
          <w:bCs/>
        </w:rPr>
        <w:t xml:space="preserve">3%</w:t>
      </w:r>
    </w:p>
    <w:p>
      <w:pPr>
        <w:pStyle w:val="Compact"/>
        <w:numPr>
          <w:ilvl w:val="0"/>
          <w:numId w:val="1002"/>
        </w:numPr>
      </w:pPr>
      <w:r>
        <w:t xml:space="preserve">International:</w:t>
      </w:r>
      <w:r>
        <w:t xml:space="preserve"> </w:t>
      </w:r>
      <w:r>
        <w:rPr>
          <w:b/>
          <w:bCs/>
        </w:rPr>
        <w:t xml:space="preserve">5%</w:t>
      </w:r>
    </w:p>
    <w:p>
      <w:pPr>
        <w:pStyle w:val="Compact"/>
        <w:numPr>
          <w:ilvl w:val="0"/>
          <w:numId w:val="1002"/>
        </w:numPr>
      </w:pPr>
      <w:r>
        <w:t xml:space="preserve">EMEA:</w:t>
      </w:r>
      <w:r>
        <w:t xml:space="preserve"> </w:t>
      </w:r>
      <w:r>
        <w:rPr>
          <w:b/>
          <w:bCs/>
        </w:rPr>
        <w:t xml:space="preserve">6%</w:t>
      </w:r>
    </w:p>
    <w:p>
      <w:pPr>
        <w:pStyle w:val="Compact"/>
        <w:numPr>
          <w:ilvl w:val="0"/>
          <w:numId w:val="1002"/>
        </w:numPr>
      </w:pPr>
      <w:r>
        <w:t xml:space="preserve">Asia-Pacific:</w:t>
      </w:r>
      <w:r>
        <w:t xml:space="preserve"> </w:t>
      </w:r>
      <w:r>
        <w:rPr>
          <w:b/>
          <w:bCs/>
        </w:rPr>
        <w:t xml:space="preserve">5%</w:t>
      </w:r>
    </w:p>
    <w:p>
      <w:pPr>
        <w:pStyle w:val="Compact"/>
        <w:numPr>
          <w:ilvl w:val="0"/>
          <w:numId w:val="1002"/>
        </w:numPr>
      </w:pPr>
      <w:r>
        <w:t xml:space="preserve">Latin America:</w:t>
      </w:r>
      <w:r>
        <w:t xml:space="preserve"> </w:t>
      </w:r>
      <w:r>
        <w:rPr>
          <w:b/>
          <w:bCs/>
        </w:rPr>
        <w:t xml:space="preserve">2%</w:t>
      </w:r>
    </w:p>
    <w:p>
      <w:pPr>
        <w:pStyle w:val="FirstParagraph"/>
      </w:pPr>
      <w:r>
        <w:t xml:space="preserve">The Q2 comparison is demanding: the business grew 5% organically in Q2 2025, including 7% internationally.</w:t>
      </w:r>
    </w:p>
    <w:p>
      <w:pPr>
        <w:pStyle w:val="BodyText"/>
      </w:pPr>
      <w:r>
        <w:t xml:space="preserve">What to watch:</w:t>
      </w:r>
    </w:p>
    <w:p>
      <w:pPr>
        <w:pStyle w:val="Compact"/>
        <w:numPr>
          <w:ilvl w:val="0"/>
          <w:numId w:val="1003"/>
        </w:numPr>
      </w:pPr>
      <w:r>
        <w:t xml:space="preserve">Whether U.S./Canada holds around 3% despite declining pricing</w:t>
      </w:r>
    </w:p>
    <w:p>
      <w:pPr>
        <w:pStyle w:val="Compact"/>
        <w:numPr>
          <w:ilvl w:val="0"/>
          <w:numId w:val="1003"/>
        </w:numPr>
      </w:pPr>
      <w:r>
        <w:t xml:space="preserve">Continued middle-market strength at Marsh McLennan Agency</w:t>
      </w:r>
    </w:p>
    <w:p>
      <w:pPr>
        <w:pStyle w:val="Compact"/>
        <w:numPr>
          <w:ilvl w:val="0"/>
          <w:numId w:val="1003"/>
        </w:numPr>
      </w:pPr>
      <w:r>
        <w:t xml:space="preserve">International growth, particularly in EMEA</w:t>
      </w:r>
    </w:p>
    <w:p>
      <w:pPr>
        <w:pStyle w:val="Compact"/>
        <w:numPr>
          <w:ilvl w:val="0"/>
          <w:numId w:val="1003"/>
        </w:numPr>
      </w:pPr>
      <w:r>
        <w:t xml:space="preserve">New-business and client-retention commentary</w:t>
      </w:r>
    </w:p>
    <w:p>
      <w:pPr>
        <w:pStyle w:val="Compact"/>
        <w:numPr>
          <w:ilvl w:val="0"/>
          <w:numId w:val="1003"/>
        </w:numPr>
      </w:pPr>
      <w:r>
        <w:t xml:space="preserve">Demand for specialty, cyber, construction, transaction-risk and captive solutions</w:t>
      </w:r>
    </w:p>
    <w:p>
      <w:pPr>
        <w:pStyle w:val="FirstParagraph"/>
      </w:pPr>
      <w:r>
        <w:t xml:space="preserve">A 3%–4% result would demonstrate respectable cycle management. Anything materially below 3% would be disappointing.</w:t>
      </w:r>
    </w:p>
    <w:bookmarkEnd w:id="11"/>
    <w:bookmarkStart w:id="12" w:name="Xfbe8290219c66542bbf0ebe766a319224ca5bbc"/>
    <w:p>
      <w:pPr>
        <w:pStyle w:val="Heading3"/>
      </w:pPr>
      <w:r>
        <w:t xml:space="preserve">2. Guy Carpenter</w:t>
      </w:r>
    </w:p>
    <w:p>
      <w:pPr>
        <w:pStyle w:val="FirstParagraph"/>
      </w:pPr>
      <w:r>
        <w:t xml:space="preserve">Guy Carpenter is the most obvious pressure point. Underlying growth slowed to</w:t>
      </w:r>
      <w:r>
        <w:t xml:space="preserve"> </w:t>
      </w:r>
      <w:r>
        <w:rPr>
          <w:b/>
          <w:bCs/>
        </w:rPr>
        <w:t xml:space="preserve">2% in Q1</w:t>
      </w:r>
      <w:r>
        <w:t xml:space="preserve">, from 5% in the comparable period, and Q2 includes important Japanese and Florida renewal activity.</w:t>
      </w:r>
    </w:p>
    <w:p>
      <w:pPr>
        <w:pStyle w:val="BodyText"/>
      </w:pPr>
      <w:r>
        <w:t xml:space="preserve">Rate reductions do not translate mechanically into equal revenue declines, but they are a clear headwind. The offsets include:</w:t>
      </w:r>
    </w:p>
    <w:p>
      <w:pPr>
        <w:pStyle w:val="Compact"/>
        <w:numPr>
          <w:ilvl w:val="0"/>
          <w:numId w:val="1004"/>
        </w:numPr>
      </w:pPr>
      <w:r>
        <w:t xml:space="preserve">Strong client retention and new business</w:t>
      </w:r>
    </w:p>
    <w:p>
      <w:pPr>
        <w:pStyle w:val="Compact"/>
        <w:numPr>
          <w:ilvl w:val="0"/>
          <w:numId w:val="1004"/>
        </w:numPr>
      </w:pPr>
      <w:r>
        <w:t xml:space="preserve">Cat-bond and insurance-linked-securities activity</w:t>
      </w:r>
    </w:p>
    <w:p>
      <w:pPr>
        <w:pStyle w:val="Compact"/>
        <w:numPr>
          <w:ilvl w:val="0"/>
          <w:numId w:val="1004"/>
        </w:numPr>
      </w:pPr>
      <w:r>
        <w:t xml:space="preserve">Capital advisory and sidecar mandates</w:t>
      </w:r>
    </w:p>
    <w:p>
      <w:pPr>
        <w:pStyle w:val="Compact"/>
        <w:numPr>
          <w:ilvl w:val="0"/>
          <w:numId w:val="1004"/>
        </w:numPr>
      </w:pPr>
      <w:r>
        <w:t xml:space="preserve">Demand for data-center and other emerging-risk capacity</w:t>
      </w:r>
    </w:p>
    <w:p>
      <w:pPr>
        <w:pStyle w:val="Compact"/>
        <w:numPr>
          <w:ilvl w:val="0"/>
          <w:numId w:val="1004"/>
        </w:numPr>
      </w:pPr>
      <w:r>
        <w:t xml:space="preserve">Casualty reinsurance opportunities</w:t>
      </w:r>
    </w:p>
    <w:p>
      <w:pPr>
        <w:pStyle w:val="FirstParagraph"/>
      </w:pPr>
      <w:r>
        <w:t xml:space="preserve">Investors should expect relatively modest growth. A return toward 3%–4% would be a positive surprise; flat or negative growth could pressure the broader organic-growth narrative.</w:t>
      </w:r>
    </w:p>
    <w:bookmarkEnd w:id="12"/>
    <w:bookmarkStart w:id="13" w:name="X1fb1f45d3135f32c6bfc51c2f74451cc2fd4821"/>
    <w:p>
      <w:pPr>
        <w:pStyle w:val="Heading3"/>
      </w:pPr>
      <w:r>
        <w:t xml:space="preserve">3. Mercer</w:t>
      </w:r>
    </w:p>
    <w:p>
      <w:pPr>
        <w:pStyle w:val="FirstParagraph"/>
      </w:pPr>
      <w:r>
        <w:t xml:space="preserve">Mercer was a relative bright spot in Q1, with</w:t>
      </w:r>
      <w:r>
        <w:t xml:space="preserve"> </w:t>
      </w:r>
      <w:r>
        <w:rPr>
          <w:b/>
          <w:bCs/>
        </w:rPr>
        <w:t xml:space="preserve">5% underlying growth</w:t>
      </w:r>
      <w:r>
        <w:t xml:space="preserve">:</w:t>
      </w:r>
    </w:p>
    <w:p>
      <w:pPr>
        <w:pStyle w:val="Compact"/>
        <w:numPr>
          <w:ilvl w:val="0"/>
          <w:numId w:val="1005"/>
        </w:numPr>
      </w:pPr>
      <w:r>
        <w:t xml:space="preserve">Wealth:</w:t>
      </w:r>
      <w:r>
        <w:t xml:space="preserve"> </w:t>
      </w:r>
      <w:r>
        <w:rPr>
          <w:b/>
          <w:bCs/>
        </w:rPr>
        <w:t xml:space="preserve">5%</w:t>
      </w:r>
    </w:p>
    <w:p>
      <w:pPr>
        <w:pStyle w:val="Compact"/>
        <w:numPr>
          <w:ilvl w:val="0"/>
          <w:numId w:val="1005"/>
        </w:numPr>
      </w:pPr>
      <w:r>
        <w:t xml:space="preserve">Health:</w:t>
      </w:r>
      <w:r>
        <w:t xml:space="preserve"> </w:t>
      </w:r>
      <w:r>
        <w:rPr>
          <w:b/>
          <w:bCs/>
        </w:rPr>
        <w:t xml:space="preserve">6%</w:t>
      </w:r>
    </w:p>
    <w:p>
      <w:pPr>
        <w:pStyle w:val="Compact"/>
        <w:numPr>
          <w:ilvl w:val="0"/>
          <w:numId w:val="1005"/>
        </w:numPr>
      </w:pPr>
      <w:r>
        <w:t xml:space="preserve">Career:</w:t>
      </w:r>
      <w:r>
        <w:t xml:space="preserve"> </w:t>
      </w:r>
      <w:r>
        <w:rPr>
          <w:b/>
          <w:bCs/>
        </w:rPr>
        <w:t xml:space="preserve">-2%</w:t>
      </w:r>
    </w:p>
    <w:p>
      <w:pPr>
        <w:pStyle w:val="FirstParagraph"/>
      </w:pPr>
      <w:r>
        <w:t xml:space="preserve">Wealth should benefit from healthy asset levels and new mandates. Mercer reported</w:t>
      </w:r>
      <w:r>
        <w:t xml:space="preserve"> </w:t>
      </w:r>
      <w:r>
        <w:rPr>
          <w:b/>
          <w:bCs/>
        </w:rPr>
        <w:t xml:space="preserve">$727 billion of assets under management at the end of Q1</w:t>
      </w:r>
      <w:r>
        <w:t xml:space="preserve">, up 19% year over year. Health remains a steady growth engine, while Career continues to face soft demand for U.S. project work.</w:t>
      </w:r>
    </w:p>
    <w:p>
      <w:pPr>
        <w:pStyle w:val="BodyText"/>
      </w:pPr>
      <w:r>
        <w:t xml:space="preserve">The main questions are:</w:t>
      </w:r>
    </w:p>
    <w:p>
      <w:pPr>
        <w:pStyle w:val="Compact"/>
        <w:numPr>
          <w:ilvl w:val="0"/>
          <w:numId w:val="1006"/>
        </w:numPr>
      </w:pPr>
      <w:r>
        <w:t xml:space="preserve">Whether favorable capital markets sustained Wealth growth</w:t>
      </w:r>
    </w:p>
    <w:p>
      <w:pPr>
        <w:pStyle w:val="Compact"/>
        <w:numPr>
          <w:ilvl w:val="0"/>
          <w:numId w:val="1006"/>
        </w:numPr>
      </w:pPr>
      <w:r>
        <w:t xml:space="preserve">Whether Health remains in the mid-single digits</w:t>
      </w:r>
    </w:p>
    <w:p>
      <w:pPr>
        <w:pStyle w:val="Compact"/>
        <w:numPr>
          <w:ilvl w:val="0"/>
          <w:numId w:val="1006"/>
        </w:numPr>
      </w:pPr>
      <w:r>
        <w:t xml:space="preserve">Whether Career is stabilizing</w:t>
      </w:r>
    </w:p>
    <w:p>
      <w:pPr>
        <w:pStyle w:val="Compact"/>
        <w:numPr>
          <w:ilvl w:val="0"/>
          <w:numId w:val="1006"/>
        </w:numPr>
      </w:pPr>
      <w:r>
        <w:t xml:space="preserve">The timing and strategic impact of the pending AltamarCAM acquisition</w:t>
      </w:r>
    </w:p>
    <w:p>
      <w:pPr>
        <w:pStyle w:val="FirstParagraph"/>
      </w:pPr>
      <w:r>
        <w:t xml:space="preserve">Another 4%–5% organic quarter from Mercer would provide an important buffer against insurance-market softness.</w:t>
      </w:r>
    </w:p>
    <w:bookmarkEnd w:id="13"/>
    <w:bookmarkStart w:id="14" w:name="X9684e32d416bedb76e5ea6675279e353c090357"/>
    <w:p>
      <w:pPr>
        <w:pStyle w:val="Heading3"/>
      </w:pPr>
      <w:r>
        <w:t xml:space="preserve">4. Marsh Management Consulting</w:t>
      </w:r>
    </w:p>
    <w:p>
      <w:pPr>
        <w:pStyle w:val="FirstParagraph"/>
      </w:pPr>
      <w:r>
        <w:t xml:space="preserve">The former Oliver Wyman business grew</w:t>
      </w:r>
      <w:r>
        <w:t xml:space="preserve"> </w:t>
      </w:r>
      <w:r>
        <w:rPr>
          <w:b/>
          <w:bCs/>
        </w:rPr>
        <w:t xml:space="preserve">6% organically in Q1</w:t>
      </w:r>
      <w:r>
        <w:t xml:space="preserve">, following 6% growth for full-year 2025. Management has described its AI-focused Quotient practice as its fastest-growing capability.</w:t>
      </w:r>
    </w:p>
    <w:p>
      <w:pPr>
        <w:pStyle w:val="BodyText"/>
      </w:pPr>
      <w:r>
        <w:t xml:space="preserve">Investors should watch demand in financial services, private capital, government and performance-transformation work. Consulting is more economically sensitive than insurance brokerage, but recent results suggest demand has remained solid.</w:t>
      </w:r>
    </w:p>
    <w:p>
      <w:pPr>
        <w:pStyle w:val="BodyText"/>
      </w:pPr>
      <w:r>
        <w:t xml:space="preserve">Mid-single-digit growth would support the broader diversification argument.</w:t>
      </w:r>
    </w:p>
    <w:bookmarkEnd w:id="14"/>
    <w:bookmarkEnd w:id="15"/>
    <w:bookmarkStart w:id="16" w:name="margins-matter-more-than-the-eps-beat"/>
    <w:p>
      <w:pPr>
        <w:pStyle w:val="Heading2"/>
      </w:pPr>
      <w:r>
        <w:t xml:space="preserve">Margins matter more than the EPS beat</w:t>
      </w:r>
    </w:p>
    <w:p>
      <w:pPr>
        <w:pStyle w:val="FirstParagraph"/>
      </w:pPr>
      <w:r>
        <w:t xml:space="preserve">Q1 adjusted operating income grew 8%, although consolidated adjusted margin was unchanged at</w:t>
      </w:r>
      <w:r>
        <w:t xml:space="preserve"> </w:t>
      </w:r>
      <w:r>
        <w:rPr>
          <w:b/>
          <w:bCs/>
        </w:rPr>
        <w:t xml:space="preserve">31.8%</w:t>
      </w:r>
      <w:r>
        <w:t xml:space="preserve">. Management has guided to:</w:t>
      </w:r>
    </w:p>
    <w:p>
      <w:pPr>
        <w:pStyle w:val="Compact"/>
        <w:numPr>
          <w:ilvl w:val="0"/>
          <w:numId w:val="1007"/>
        </w:numPr>
      </w:pPr>
      <w:r>
        <w:t xml:space="preserve">A</w:t>
      </w:r>
      <w:r>
        <w:t xml:space="preserve"> </w:t>
      </w:r>
      <w:r>
        <w:rPr>
          <w:b/>
          <w:bCs/>
        </w:rPr>
        <w:t xml:space="preserve">19th consecutive year of margin expansion</w:t>
      </w:r>
    </w:p>
    <w:p>
      <w:pPr>
        <w:pStyle w:val="Compact"/>
        <w:numPr>
          <w:ilvl w:val="0"/>
          <w:numId w:val="1007"/>
        </w:numPr>
      </w:pPr>
      <w:r>
        <w:t xml:space="preserve">More margin improvement in the second half than in the first</w:t>
      </w:r>
    </w:p>
    <w:p>
      <w:pPr>
        <w:pStyle w:val="Compact"/>
        <w:numPr>
          <w:ilvl w:val="0"/>
          <w:numId w:val="1007"/>
        </w:numPr>
      </w:pPr>
      <w:r>
        <w:t xml:space="preserve">Continued benefits from the Thrive efficiency program</w:t>
      </w:r>
    </w:p>
    <w:p>
      <w:pPr>
        <w:pStyle w:val="Compact"/>
        <w:numPr>
          <w:ilvl w:val="0"/>
          <w:numId w:val="1007"/>
        </w:numPr>
      </w:pPr>
      <w:r>
        <w:t xml:space="preserve">Solid adjusted EPS growth for 2026</w:t>
      </w:r>
    </w:p>
    <w:p>
      <w:pPr>
        <w:pStyle w:val="FirstParagraph"/>
      </w:pPr>
      <w:r>
        <w:t xml:space="preserve">The Street’s Q2 margin expectation of</w:t>
      </w:r>
      <w:r>
        <w:t xml:space="preserve"> </w:t>
      </w:r>
      <w:r>
        <w:rPr>
          <w:b/>
          <w:bCs/>
        </w:rPr>
        <w:t xml:space="preserve">29.26%</w:t>
      </w:r>
      <w:r>
        <w:t xml:space="preserve"> </w:t>
      </w:r>
      <w:r>
        <w:t xml:space="preserve">is slightly below last year’s 29.5%. That makes the full-year commentary especially important. A modest Q2 margin decline could be tolerated if management remains confident in second-half expansion. A weak margin accompanied by less-convincing guidance would be a larger concern.</w:t>
      </w:r>
    </w:p>
    <w:p>
      <w:pPr>
        <w:pStyle w:val="BodyText"/>
      </w:pPr>
      <w:r>
        <w:t xml:space="preserve">Important moving pieces include:</w:t>
      </w:r>
    </w:p>
    <w:p>
      <w:pPr>
        <w:pStyle w:val="Compact"/>
        <w:numPr>
          <w:ilvl w:val="0"/>
          <w:numId w:val="1008"/>
        </w:numPr>
      </w:pPr>
      <w:r>
        <w:rPr>
          <w:b/>
          <w:bCs/>
        </w:rPr>
        <w:t xml:space="preserve">Thrive:</w:t>
      </w:r>
      <w:r>
        <w:t xml:space="preserve"> </w:t>
      </w:r>
      <w:r>
        <w:t xml:space="preserve">Targeting $400 million of total savings, with some savings reinvested for growth</w:t>
      </w:r>
    </w:p>
    <w:p>
      <w:pPr>
        <w:pStyle w:val="Compact"/>
        <w:numPr>
          <w:ilvl w:val="0"/>
          <w:numId w:val="1008"/>
        </w:numPr>
      </w:pPr>
      <w:r>
        <w:rPr>
          <w:b/>
          <w:bCs/>
        </w:rPr>
        <w:t xml:space="preserve">AI and automation:</w:t>
      </w:r>
      <w:r>
        <w:t xml:space="preserve"> </w:t>
      </w:r>
      <w:r>
        <w:t xml:space="preserve">Early efficiency gains in document processing, renewals, IT support and software modernization</w:t>
      </w:r>
    </w:p>
    <w:p>
      <w:pPr>
        <w:pStyle w:val="Compact"/>
        <w:numPr>
          <w:ilvl w:val="0"/>
          <w:numId w:val="1008"/>
        </w:numPr>
      </w:pPr>
      <w:r>
        <w:rPr>
          <w:b/>
          <w:bCs/>
        </w:rPr>
        <w:t xml:space="preserve">Corporate expense:</w:t>
      </w:r>
      <w:r>
        <w:t xml:space="preserve"> </w:t>
      </w:r>
      <w:r>
        <w:t xml:space="preserve">Management forecast approximately</w:t>
      </w:r>
      <w:r>
        <w:t xml:space="preserve"> </w:t>
      </w:r>
      <w:r>
        <w:rPr>
          <w:b/>
          <w:bCs/>
        </w:rPr>
        <w:t xml:space="preserve">$90 million</w:t>
      </w:r>
      <w:r>
        <w:t xml:space="preserve"> </w:t>
      </w:r>
      <w:r>
        <w:t xml:space="preserve">for Q2, up from $74 million in Q1</w:t>
      </w:r>
    </w:p>
    <w:p>
      <w:pPr>
        <w:pStyle w:val="Compact"/>
        <w:numPr>
          <w:ilvl w:val="0"/>
          <w:numId w:val="1008"/>
        </w:numPr>
      </w:pPr>
      <w:r>
        <w:rPr>
          <w:b/>
          <w:bCs/>
        </w:rPr>
        <w:t xml:space="preserve">Compensation:</w:t>
      </w:r>
      <w:r>
        <w:t xml:space="preserve"> </w:t>
      </w:r>
      <w:r>
        <w:t xml:space="preserve">Continued hiring of producers may limit near-term operating leverage</w:t>
      </w:r>
    </w:p>
    <w:p>
      <w:pPr>
        <w:pStyle w:val="Compact"/>
        <w:numPr>
          <w:ilvl w:val="0"/>
          <w:numId w:val="1008"/>
        </w:numPr>
      </w:pPr>
      <w:r>
        <w:rPr>
          <w:b/>
          <w:bCs/>
        </w:rPr>
        <w:t xml:space="preserve">McGriff:</w:t>
      </w:r>
      <w:r>
        <w:t xml:space="preserve"> </w:t>
      </w:r>
      <w:r>
        <w:t xml:space="preserve">Integration is complete, but investors will look for ongoing revenue and margin benefits</w:t>
      </w:r>
    </w:p>
    <w:bookmarkEnd w:id="16"/>
    <w:bookmarkStart w:id="21" w:name="known-below-the-line-headwinds"/>
    <w:p>
      <w:pPr>
        <w:pStyle w:val="Heading2"/>
      </w:pPr>
      <w:r>
        <w:t xml:space="preserve">Known below-the-line headwinds</w:t>
      </w:r>
    </w:p>
    <w:p>
      <w:pPr>
        <w:pStyle w:val="FirstParagraph"/>
      </w:pPr>
      <w:r>
        <w:t xml:space="preserve">Several items make the $2.90 EPS hurdle more meaningful than it initially appears.</w:t>
      </w:r>
    </w:p>
    <w:bookmarkStart w:id="17" w:name="fiduciary-interest-income"/>
    <w:p>
      <w:pPr>
        <w:pStyle w:val="Heading3"/>
      </w:pPr>
      <w:r>
        <w:t xml:space="preserve">Fiduciary interest income</w:t>
      </w:r>
    </w:p>
    <w:p>
      <w:pPr>
        <w:pStyle w:val="FirstParagraph"/>
      </w:pPr>
      <w:r>
        <w:t xml:space="preserve">Management forecast approximately</w:t>
      </w:r>
      <w:r>
        <w:t xml:space="preserve"> </w:t>
      </w:r>
      <m:oMath>
        <m:r>
          <m:t>80</m:t>
        </m:r>
        <m:r>
          <m:t>m</m:t>
        </m:r>
        <m:r>
          <m:t>i</m:t>
        </m:r>
        <m:r>
          <m:t>l</m:t>
        </m:r>
        <m:r>
          <m:t>l</m:t>
        </m:r>
        <m:r>
          <m:t>i</m:t>
        </m:r>
        <m:r>
          <m:t>o</m:t>
        </m:r>
        <m:r>
          <m:t>n</m:t>
        </m:r>
        <m:r>
          <m:rPr>
            <m:sty m:val="p"/>
          </m:rPr>
          <m:t>*</m:t>
        </m:r>
        <m:r>
          <m:rPr>
            <m:sty m:val="p"/>
          </m:rPr>
          <m:t>*</m:t>
        </m:r>
        <m:r>
          <m:t>i</m:t>
        </m:r>
        <m:r>
          <m:t>n</m:t>
        </m:r>
        <m:r>
          <m:t>Q</m:t>
        </m:r>
        <m:r>
          <m:t>2</m:t>
        </m:r>
        <m:r>
          <m:rPr>
            <m:sty m:val="p"/>
          </m:rPr>
          <m:t>,</m:t>
        </m:r>
        <m:r>
          <m:t>v</m:t>
        </m:r>
        <m:r>
          <m:t>e</m:t>
        </m:r>
        <m:r>
          <m:t>r</m:t>
        </m:r>
        <m:r>
          <m:t>s</m:t>
        </m:r>
        <m:r>
          <m:t>u</m:t>
        </m:r>
        <m:r>
          <m:t>s</m:t>
        </m:r>
        <m:r>
          <m:rPr>
            <m:sty m:val="p"/>
          </m:rPr>
          <m:t>*</m:t>
        </m:r>
        <m:r>
          <m:rPr>
            <m:sty m:val="p"/>
          </m:rPr>
          <m:t>*</m:t>
        </m:r>
      </m:oMath>
      <w:r>
        <w:rPr>
          <w:b/>
          <w:bCs/>
        </w:rPr>
        <w:t xml:space="preserve">99 million</w:t>
      </w:r>
      <w:r>
        <w:t xml:space="preserve"> </w:t>
      </w:r>
      <w:r>
        <w:t xml:space="preserve">a year earlier. That implies a roughly 19% year-over-year decline and is a direct drag on Risk &amp; Insurance revenue and earnings.</w:t>
      </w:r>
    </w:p>
    <w:bookmarkEnd w:id="17"/>
    <w:bookmarkStart w:id="18" w:name="interest-expense"/>
    <w:p>
      <w:pPr>
        <w:pStyle w:val="Heading3"/>
      </w:pPr>
      <w:r>
        <w:t xml:space="preserve">Interest expense</w:t>
      </w:r>
    </w:p>
    <w:p>
      <w:pPr>
        <w:pStyle w:val="FirstParagraph"/>
      </w:pPr>
      <w:r>
        <w:t xml:space="preserve">Q2 interest expense was forecast at approximately</w:t>
      </w:r>
      <w:r>
        <w:t xml:space="preserve"> </w:t>
      </w:r>
      <w:r>
        <w:rPr>
          <w:b/>
          <w:bCs/>
        </w:rPr>
        <w:t xml:space="preserve">$245 million</w:t>
      </w:r>
      <w:r>
        <w:t xml:space="preserve">, broadly unchanged from Q1 but still elevated following the McGriff financing.</w:t>
      </w:r>
    </w:p>
    <w:bookmarkEnd w:id="18"/>
    <w:bookmarkStart w:id="19" w:name="taxes"/>
    <w:p>
      <w:pPr>
        <w:pStyle w:val="Heading3"/>
      </w:pPr>
      <w:r>
        <w:t xml:space="preserve">Taxes</w:t>
      </w:r>
    </w:p>
    <w:p>
      <w:pPr>
        <w:pStyle w:val="FirstParagraph"/>
      </w:pPr>
      <w:r>
        <w:t xml:space="preserve">Management expects a full-year adjusted tax rate of</w:t>
      </w:r>
      <w:r>
        <w:t xml:space="preserve"> </w:t>
      </w:r>
      <w:r>
        <w:rPr>
          <w:b/>
          <w:bCs/>
        </w:rPr>
        <w:t xml:space="preserve">24.5%–25.5%</w:t>
      </w:r>
      <w:r>
        <w:t xml:space="preserve">. Discrete tax benefits have periodically affected comparisons, so the quality of any EPS beat matters.</w:t>
      </w:r>
    </w:p>
    <w:bookmarkEnd w:id="19"/>
    <w:bookmarkStart w:id="20" w:name="share-count"/>
    <w:p>
      <w:pPr>
        <w:pStyle w:val="Heading3"/>
      </w:pPr>
      <w:r>
        <w:t xml:space="preserve">Share count</w:t>
      </w:r>
    </w:p>
    <w:p>
      <w:pPr>
        <w:pStyle w:val="FirstParagraph"/>
      </w:pPr>
      <w:r>
        <w:t xml:space="preserve">Marsh repurchased</w:t>
      </w:r>
      <w:r>
        <w:t xml:space="preserve"> </w:t>
      </w:r>
      <w:r>
        <w:rPr>
          <w:b/>
          <w:bCs/>
        </w:rPr>
        <w:t xml:space="preserve">$750 million</w:t>
      </w:r>
      <w:r>
        <w:t xml:space="preserve"> </w:t>
      </w:r>
      <w:r>
        <w:t xml:space="preserve">of stock in Q1 after buying back $2 billion during 2025. The lower share count should support per-share growth even if operating growth moderates.</w:t>
      </w:r>
    </w:p>
    <w:bookmarkEnd w:id="20"/>
    <w:bookmarkEnd w:id="21"/>
    <w:bookmarkStart w:id="22" w:name="greensill-litigation"/>
    <w:p>
      <w:pPr>
        <w:pStyle w:val="Heading2"/>
      </w:pPr>
      <w:r>
        <w:t xml:space="preserve">Greensill litigation</w:t>
      </w:r>
    </w:p>
    <w:p>
      <w:pPr>
        <w:pStyle w:val="FirstParagraph"/>
      </w:pPr>
      <w:r>
        <w:t xml:space="preserve">Q1 GAAP earnings included a</w:t>
      </w:r>
      <w:r>
        <w:t xml:space="preserve"> </w:t>
      </w:r>
      <w:r>
        <w:rPr>
          <w:b/>
          <w:bCs/>
        </w:rPr>
        <w:t xml:space="preserve">$425 million charge</w:t>
      </w:r>
      <w:r>
        <w:t xml:space="preserve"> </w:t>
      </w:r>
      <w:r>
        <w:t xml:space="preserve">tied to litigation stemming from Greensill Capital’s collapse. The charge was excluded from adjusted results, and management said it represented its best estimate of the liability following court-sponsored mediation.</w:t>
      </w:r>
    </w:p>
    <w:p>
      <w:pPr>
        <w:pStyle w:val="BodyText"/>
      </w:pPr>
      <w:r>
        <w:t xml:space="preserve">Investors should listen for:</w:t>
      </w:r>
    </w:p>
    <w:p>
      <w:pPr>
        <w:pStyle w:val="Compact"/>
        <w:numPr>
          <w:ilvl w:val="0"/>
          <w:numId w:val="1009"/>
        </w:numPr>
      </w:pPr>
      <w:r>
        <w:t xml:space="preserve">Any revision to the estimated liability</w:t>
      </w:r>
    </w:p>
    <w:p>
      <w:pPr>
        <w:pStyle w:val="Compact"/>
        <w:numPr>
          <w:ilvl w:val="0"/>
          <w:numId w:val="1009"/>
        </w:numPr>
      </w:pPr>
      <w:r>
        <w:t xml:space="preserve">Progress toward resolution</w:t>
      </w:r>
    </w:p>
    <w:p>
      <w:pPr>
        <w:pStyle w:val="Compact"/>
        <w:numPr>
          <w:ilvl w:val="0"/>
          <w:numId w:val="1009"/>
        </w:numPr>
      </w:pPr>
      <w:r>
        <w:t xml:space="preserve">Additional legal expenses</w:t>
      </w:r>
    </w:p>
    <w:p>
      <w:pPr>
        <w:pStyle w:val="Compact"/>
        <w:numPr>
          <w:ilvl w:val="0"/>
          <w:numId w:val="1009"/>
        </w:numPr>
      </w:pPr>
      <w:r>
        <w:t xml:space="preserve">Changes to related risk disclosures</w:t>
      </w:r>
    </w:p>
    <w:p>
      <w:pPr>
        <w:pStyle w:val="FirstParagraph"/>
      </w:pPr>
      <w:r>
        <w:t xml:space="preserve">This is unlikely to determine adjusted Q2 performance, but it remains relevant to GAAP earnings, cash flow and headline risk.</w:t>
      </w:r>
    </w:p>
    <w:bookmarkEnd w:id="22"/>
    <w:bookmarkStart w:id="26" w:name="X9f4937daca818f3793a56cabe1c8e718e61082a"/>
    <w:p>
      <w:pPr>
        <w:pStyle w:val="Heading2"/>
      </w:pPr>
      <w:r>
        <w:t xml:space="preserve">Guidance is the likely share-price driver</w:t>
      </w:r>
    </w:p>
    <w:p>
      <w:pPr>
        <w:pStyle w:val="FirstParagraph"/>
      </w:pPr>
      <w:r>
        <w:t xml:space="preserve">At the Q1 call, management expected:</w:t>
      </w:r>
    </w:p>
    <w:p>
      <w:pPr>
        <w:pStyle w:val="Compact"/>
        <w:numPr>
          <w:ilvl w:val="0"/>
          <w:numId w:val="1010"/>
        </w:numPr>
      </w:pPr>
      <w:r>
        <w:t xml:space="preserve">2026 underlying revenue growth similar to 2025’s</w:t>
      </w:r>
      <w:r>
        <w:t xml:space="preserve"> </w:t>
      </w:r>
      <w:r>
        <w:rPr>
          <w:b/>
          <w:bCs/>
        </w:rPr>
        <w:t xml:space="preserve">4%</w:t>
      </w:r>
    </w:p>
    <w:p>
      <w:pPr>
        <w:pStyle w:val="Compact"/>
        <w:numPr>
          <w:ilvl w:val="0"/>
          <w:numId w:val="1010"/>
        </w:numPr>
      </w:pPr>
      <w:r>
        <w:t xml:space="preserve">Continued adjusted-margin expansion</w:t>
      </w:r>
    </w:p>
    <w:p>
      <w:pPr>
        <w:pStyle w:val="Compact"/>
        <w:numPr>
          <w:ilvl w:val="0"/>
          <w:numId w:val="1010"/>
        </w:numPr>
      </w:pPr>
      <w:r>
        <w:t xml:space="preserve">Solid adjusted EPS growth</w:t>
      </w:r>
    </w:p>
    <w:p>
      <w:pPr>
        <w:pStyle w:val="Compact"/>
        <w:numPr>
          <w:ilvl w:val="0"/>
          <w:numId w:val="1010"/>
        </w:numPr>
      </w:pPr>
      <w:r>
        <w:t xml:space="preserve">Approximately</w:t>
      </w:r>
      <w:r>
        <w:t xml:space="preserve"> </w:t>
      </w:r>
      <w:r>
        <w:rPr>
          <w:b/>
          <w:bCs/>
        </w:rPr>
        <w:t xml:space="preserve">$5 billion</w:t>
      </w:r>
      <w:r>
        <w:t xml:space="preserve"> </w:t>
      </w:r>
      <w:r>
        <w:t xml:space="preserve">of capital deployment across dividends, acquisitions and repurchases</w:t>
      </w:r>
    </w:p>
    <w:p>
      <w:pPr>
        <w:pStyle w:val="FirstParagraph"/>
      </w:pPr>
      <w:r>
        <w:t xml:space="preserve">Maintaining that outlook would imply confidence that softer insurance pricing can be offset by new business, consulting growth, acquisitions and productivity gains.</w:t>
      </w:r>
    </w:p>
    <w:p>
      <w:pPr>
        <w:pStyle w:val="BodyText"/>
      </w:pPr>
      <w:r>
        <w:t xml:space="preserve">The market may interpret guidance as follows:</w:t>
      </w:r>
    </w:p>
    <w:bookmarkStart w:id="23" w:name="bullish"/>
    <w:p>
      <w:pPr>
        <w:pStyle w:val="Heading3"/>
      </w:pPr>
      <w:r>
        <w:t xml:space="preserve">Bullish</w:t>
      </w:r>
    </w:p>
    <w:p>
      <w:pPr>
        <w:pStyle w:val="Compact"/>
        <w:numPr>
          <w:ilvl w:val="0"/>
          <w:numId w:val="1011"/>
        </w:numPr>
      </w:pPr>
      <w:r>
        <w:t xml:space="preserve">Underlying growth of roughly</w:t>
      </w:r>
      <w:r>
        <w:t xml:space="preserve"> </w:t>
      </w:r>
      <w:r>
        <w:rPr>
          <w:b/>
          <w:bCs/>
        </w:rPr>
        <w:t xml:space="preserve">4% or better</w:t>
      </w:r>
    </w:p>
    <w:p>
      <w:pPr>
        <w:pStyle w:val="Compact"/>
        <w:numPr>
          <w:ilvl w:val="0"/>
          <w:numId w:val="1011"/>
        </w:numPr>
      </w:pPr>
      <w:r>
        <w:t xml:space="preserve">Risk &amp; Insurance growth above the 3.1% consensus</w:t>
      </w:r>
    </w:p>
    <w:p>
      <w:pPr>
        <w:pStyle w:val="Compact"/>
        <w:numPr>
          <w:ilvl w:val="0"/>
          <w:numId w:val="1011"/>
        </w:numPr>
      </w:pPr>
      <w:r>
        <w:t xml:space="preserve">Adjusted margin around or above last year’s 29.5%</w:t>
      </w:r>
    </w:p>
    <w:p>
      <w:pPr>
        <w:pStyle w:val="Compact"/>
        <w:numPr>
          <w:ilvl w:val="0"/>
          <w:numId w:val="1011"/>
        </w:numPr>
      </w:pPr>
      <w:r>
        <w:t xml:space="preserve">EPS comfortably above $2.90</w:t>
      </w:r>
    </w:p>
    <w:p>
      <w:pPr>
        <w:pStyle w:val="Compact"/>
        <w:numPr>
          <w:ilvl w:val="0"/>
          <w:numId w:val="1011"/>
        </w:numPr>
      </w:pPr>
      <w:r>
        <w:t xml:space="preserve">Full-year outlook reaffirmed without qualification</w:t>
      </w:r>
    </w:p>
    <w:p>
      <w:pPr>
        <w:pStyle w:val="Compact"/>
        <w:numPr>
          <w:ilvl w:val="0"/>
          <w:numId w:val="1011"/>
        </w:numPr>
      </w:pPr>
      <w:r>
        <w:t xml:space="preserve">Evidence that Thrive savings and AI efficiencies are beginning to scale</w:t>
      </w:r>
    </w:p>
    <w:p>
      <w:pPr>
        <w:pStyle w:val="Compact"/>
        <w:numPr>
          <w:ilvl w:val="0"/>
          <w:numId w:val="1011"/>
        </w:numPr>
      </w:pPr>
      <w:r>
        <w:t xml:space="preserve">Strong buyback activity or an increased dividend</w:t>
      </w:r>
    </w:p>
    <w:bookmarkEnd w:id="23"/>
    <w:bookmarkStart w:id="24" w:name="neutral"/>
    <w:p>
      <w:pPr>
        <w:pStyle w:val="Heading3"/>
      </w:pPr>
      <w:r>
        <w:t xml:space="preserve">Neutral</w:t>
      </w:r>
    </w:p>
    <w:p>
      <w:pPr>
        <w:pStyle w:val="Compact"/>
        <w:numPr>
          <w:ilvl w:val="0"/>
          <w:numId w:val="1012"/>
        </w:numPr>
      </w:pPr>
      <w:r>
        <w:t xml:space="preserve">Underlying growth around</w:t>
      </w:r>
      <w:r>
        <w:t xml:space="preserve"> </w:t>
      </w:r>
      <w:r>
        <w:rPr>
          <w:b/>
          <w:bCs/>
        </w:rPr>
        <w:t xml:space="preserve">3.5%</w:t>
      </w:r>
    </w:p>
    <w:p>
      <w:pPr>
        <w:pStyle w:val="Compact"/>
        <w:numPr>
          <w:ilvl w:val="0"/>
          <w:numId w:val="1012"/>
        </w:numPr>
      </w:pPr>
      <w:r>
        <w:t xml:space="preserve">EPS close to $2.90</w:t>
      </w:r>
    </w:p>
    <w:p>
      <w:pPr>
        <w:pStyle w:val="Compact"/>
        <w:numPr>
          <w:ilvl w:val="0"/>
          <w:numId w:val="1012"/>
        </w:numPr>
      </w:pPr>
      <w:r>
        <w:t xml:space="preserve">Small year-over-year margin decline</w:t>
      </w:r>
    </w:p>
    <w:p>
      <w:pPr>
        <w:pStyle w:val="Compact"/>
        <w:numPr>
          <w:ilvl w:val="0"/>
          <w:numId w:val="1012"/>
        </w:numPr>
      </w:pPr>
      <w:r>
        <w:t xml:space="preserve">Guidance maintained, with improvement still weighted to the second half</w:t>
      </w:r>
    </w:p>
    <w:bookmarkEnd w:id="24"/>
    <w:bookmarkStart w:id="25" w:name="bearish"/>
    <w:p>
      <w:pPr>
        <w:pStyle w:val="Heading3"/>
      </w:pPr>
      <w:r>
        <w:t xml:space="preserve">Bearish</w:t>
      </w:r>
    </w:p>
    <w:p>
      <w:pPr>
        <w:pStyle w:val="Compact"/>
        <w:numPr>
          <w:ilvl w:val="0"/>
          <w:numId w:val="1013"/>
        </w:numPr>
      </w:pPr>
      <w:r>
        <w:t xml:space="preserve">Underlying growth near or below</w:t>
      </w:r>
      <w:r>
        <w:t xml:space="preserve"> </w:t>
      </w:r>
      <w:r>
        <w:rPr>
          <w:b/>
          <w:bCs/>
        </w:rPr>
        <w:t xml:space="preserve">3%</w:t>
      </w:r>
    </w:p>
    <w:p>
      <w:pPr>
        <w:pStyle w:val="Compact"/>
        <w:numPr>
          <w:ilvl w:val="0"/>
          <w:numId w:val="1013"/>
        </w:numPr>
      </w:pPr>
      <w:r>
        <w:t xml:space="preserve">Guy Carpenter or Marsh Risk growth around 2% or lower</w:t>
      </w:r>
    </w:p>
    <w:p>
      <w:pPr>
        <w:pStyle w:val="Compact"/>
        <w:numPr>
          <w:ilvl w:val="0"/>
          <w:numId w:val="1013"/>
        </w:numPr>
      </w:pPr>
      <w:r>
        <w:t xml:space="preserve">Adjusted margin below 29%</w:t>
      </w:r>
    </w:p>
    <w:p>
      <w:pPr>
        <w:pStyle w:val="Compact"/>
        <w:numPr>
          <w:ilvl w:val="0"/>
          <w:numId w:val="1013"/>
        </w:numPr>
      </w:pPr>
      <w:r>
        <w:t xml:space="preserve">EPS miss despite share repurchases</w:t>
      </w:r>
    </w:p>
    <w:p>
      <w:pPr>
        <w:pStyle w:val="Compact"/>
        <w:numPr>
          <w:ilvl w:val="0"/>
          <w:numId w:val="1013"/>
        </w:numPr>
      </w:pPr>
      <w:r>
        <w:t xml:space="preserve">Softer language around full-year organic growth or margin expansion</w:t>
      </w:r>
    </w:p>
    <w:p>
      <w:pPr>
        <w:pStyle w:val="Compact"/>
        <w:numPr>
          <w:ilvl w:val="0"/>
          <w:numId w:val="1013"/>
        </w:numPr>
      </w:pPr>
      <w:r>
        <w:t xml:space="preserve">Additional Greensill charges or higher Thrive costs without visible savings</w:t>
      </w:r>
    </w:p>
    <w:bookmarkEnd w:id="25"/>
    <w:bookmarkEnd w:id="26"/>
    <w:bookmarkStart w:id="27" w:name="questions-investors-should-want-answered"/>
    <w:p>
      <w:pPr>
        <w:pStyle w:val="Heading2"/>
      </w:pPr>
      <w:r>
        <w:t xml:space="preserve">Questions investors should want answered</w:t>
      </w:r>
    </w:p>
    <w:p>
      <w:pPr>
        <w:pStyle w:val="Compact"/>
        <w:numPr>
          <w:ilvl w:val="0"/>
          <w:numId w:val="1014"/>
        </w:numPr>
      </w:pPr>
      <w:r>
        <w:t xml:space="preserve">Has commercial insurance pricing weakened further since Q1, and how much is that affecting commissions and fees?</w:t>
      </w:r>
    </w:p>
    <w:p>
      <w:pPr>
        <w:pStyle w:val="Compact"/>
        <w:numPr>
          <w:ilvl w:val="0"/>
          <w:numId w:val="1014"/>
        </w:numPr>
      </w:pPr>
      <w:r>
        <w:t xml:space="preserve">Are clients using lower prices to purchase more limits or broader coverage?</w:t>
      </w:r>
    </w:p>
    <w:p>
      <w:pPr>
        <w:pStyle w:val="Compact"/>
        <w:numPr>
          <w:ilvl w:val="0"/>
          <w:numId w:val="1014"/>
        </w:numPr>
      </w:pPr>
      <w:r>
        <w:t xml:space="preserve">Did Guy Carpenter remain positive organically through the Japanese and Florida renewal seasons?</w:t>
      </w:r>
    </w:p>
    <w:p>
      <w:pPr>
        <w:pStyle w:val="Compact"/>
        <w:numPr>
          <w:ilvl w:val="0"/>
          <w:numId w:val="1014"/>
        </w:numPr>
      </w:pPr>
      <w:r>
        <w:t xml:space="preserve">Is Marsh Risk’s new-business momentum sufficient to sustain at least low-to-mid-single-digit growth?</w:t>
      </w:r>
    </w:p>
    <w:p>
      <w:pPr>
        <w:pStyle w:val="Compact"/>
        <w:numPr>
          <w:ilvl w:val="0"/>
          <w:numId w:val="1014"/>
        </w:numPr>
      </w:pPr>
      <w:r>
        <w:t xml:space="preserve">When should Thrive savings become clearly visible in reported margins?</w:t>
      </w:r>
    </w:p>
    <w:p>
      <w:pPr>
        <w:pStyle w:val="Compact"/>
        <w:numPr>
          <w:ilvl w:val="0"/>
          <w:numId w:val="1014"/>
        </w:numPr>
      </w:pPr>
      <w:r>
        <w:t xml:space="preserve">How much of the expected second-half margin expansion depends on revenue acceleration versus cost savings?</w:t>
      </w:r>
    </w:p>
    <w:p>
      <w:pPr>
        <w:pStyle w:val="Compact"/>
        <w:numPr>
          <w:ilvl w:val="0"/>
          <w:numId w:val="1014"/>
        </w:numPr>
      </w:pPr>
      <w:r>
        <w:t xml:space="preserve">Is Career demand at Mercer stabilizing?</w:t>
      </w:r>
    </w:p>
    <w:p>
      <w:pPr>
        <w:pStyle w:val="Compact"/>
        <w:numPr>
          <w:ilvl w:val="0"/>
          <w:numId w:val="1014"/>
        </w:numPr>
      </w:pPr>
      <w:r>
        <w:t xml:space="preserve">How sustainable is Management Consulting’s AI-related growth?</w:t>
      </w:r>
    </w:p>
    <w:p>
      <w:pPr>
        <w:pStyle w:val="Compact"/>
        <w:numPr>
          <w:ilvl w:val="0"/>
          <w:numId w:val="1014"/>
        </w:numPr>
      </w:pPr>
      <w:r>
        <w:t xml:space="preserve">How will the remaining 2026 capital budget be divided among M&amp;A and repurchases?</w:t>
      </w:r>
    </w:p>
    <w:p>
      <w:pPr>
        <w:pStyle w:val="Compact"/>
        <w:numPr>
          <w:ilvl w:val="0"/>
          <w:numId w:val="1014"/>
        </w:numPr>
      </w:pPr>
      <w:r>
        <w:t xml:space="preserve">Has the estimated Greensill liability changed?</w:t>
      </w:r>
    </w:p>
    <w:bookmarkEnd w:id="27"/>
    <w:bookmarkStart w:id="28" w:name="bottom-line"/>
    <w:p>
      <w:pPr>
        <w:pStyle w:val="Heading2"/>
      </w:pPr>
      <w:r>
        <w:t xml:space="preserve">Bottom line</w:t>
      </w:r>
    </w:p>
    <w:p>
      <w:pPr>
        <w:pStyle w:val="FirstParagraph"/>
      </w:pPr>
      <w:r>
        <w:t xml:space="preserve">The Q2 debate is not primarily about whether Marsh can produce another EPS increase; buybacks, acquisitions and cost controls make that relatively likely. The more important issue is whether the company can hold consolidated organic growth near 4% while insurance and reinsurance prices decline.</w:t>
      </w:r>
    </w:p>
    <w:p>
      <w:pPr>
        <w:pStyle w:val="BodyText"/>
      </w:pPr>
      <w:r>
        <w:t xml:space="preserve">A report featuring</w:t>
      </w:r>
      <w:r>
        <w:t xml:space="preserve"> </w:t>
      </w:r>
      <w:r>
        <w:rPr>
          <w:b/>
          <w:bCs/>
        </w:rPr>
        <w:t xml:space="preserve">approximately 4% underlying growth, stable margins and unchanged full-year guidance</w:t>
      </w:r>
      <w:r>
        <w:t xml:space="preserve"> </w:t>
      </w:r>
      <w:r>
        <w:t xml:space="preserve">would reinforce the view that Marsh can compound earnings across insurance cycles. A headline EPS beat driven mainly by buybacks or adjustments, alongside weaker Risk &amp; Insurance growth, would be less convincing.</w:t>
      </w:r>
    </w:p>
    <w:p>
      <w:pPr>
        <w:pStyle w:val="BodyText"/>
      </w:pPr>
      <w:r>
        <w:t xml:space="preserve">The most important numbers are therefore</w:t>
      </w:r>
      <w:r>
        <w:t xml:space="preserve"> </w:t>
      </w:r>
      <w:r>
        <w:rPr>
          <w:b/>
          <w:bCs/>
        </w:rPr>
        <w:t xml:space="preserve">underlying revenue growth, Risk &amp; Insurance organic growth and adjusted margin</w:t>
      </w:r>
      <w:r>
        <w:t xml:space="preserve">—followed closely by management’s confidence in second-half margin expansion.</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2026-07-21T00:13:45Z</dcterms:created>
  <dcterms:modified xsi:type="dcterms:W3CDTF">2026-07-21T00:13:45Z</dcterms:modified>
</cp:coreProperties>
</file>

<file path=docProps/custom.xml><?xml version="1.0" encoding="utf-8"?>
<Properties xmlns="http://schemas.openxmlformats.org/officeDocument/2006/custom-properties" xmlns:vt="http://schemas.openxmlformats.org/officeDocument/2006/docPropsVTypes"/>
</file>