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sh-earnings-predictions--2026-07-21"/>
    <w:p>
      <w:pPr>
        <w:pStyle w:val="Heading1"/>
      </w:pPr>
      <w:r>
        <w:t xml:space="preserve">MRSH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underlying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~3.9% vs. cons 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Risk &amp; Insurance Services underlying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~3.4% vs. cons 3.1%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~$2.96 vs. cons $2.90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consolidated underlying revenue-growth outlook / insurance-pricing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~3.5% vs. cons 3.6%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~$11.65 vs. cons $11.50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operating-margin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~30.0% vs. cons 29.8%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+2.4% (FOLLOW-THROUGH)</w:t>
            </w:r>
          </w:p>
        </w:tc>
        <w:tc>
          <w:tcPr/>
          <w:p>
            <w:pPr>
              <w:pStyle w:val="Compact"/>
            </w:pPr>
            <w:r>
              <w:t xml:space="preserve">pred ~3.9% underlying growth vs. cons 3.6% and pred ~$2.96 EPS vs. cons $2.90 should support modest upward FY2026 revisions despite guide ~3.5% growth vs. cons 3.6%, because margin guide ~30.0% vs. cons 29.8% preserves out-period EPS leverage.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2026-07-21T00:14:49Z</dcterms:created>
  <dcterms:modified xsi:type="dcterms:W3CDTF">2026-07-21T00:14:49Z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