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mrsh-2q26-earnings-preview"/>
    <w:p>
      <w:pPr>
        <w:pStyle w:val="Heading1"/>
      </w:pPr>
      <w:r>
        <w:t xml:space="preserve">MRSH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July 21,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Marsh (NYSE: MRSH) is scheduled to report 2Q26 results and host its earnings call this morning.</w:t>
      </w:r>
    </w:p>
    <w:bookmarkStart w:id="9" w:name="Xac471fc85a70c4aad4cd334858a0c7209c4d28c"/>
    <w:p>
      <w:pPr>
        <w:pStyle w:val="Heading2"/>
      </w:pPr>
      <w:r>
        <w:t xml:space="preserve">Investment view: execution versus a slowing organic-growth bar</w:t>
      </w:r>
    </w:p>
    <w:p>
      <w:pPr>
        <w:pStyle w:val="FirstParagraph"/>
      </w:pPr>
      <w:r>
        <w:t xml:space="preserve">The key issue for Marsh heading into 2Q26 is not whether it can produce earnings growth—it likely can—but whether</w:t>
      </w:r>
      <w:r>
        <w:t xml:space="preserve"> </w:t>
      </w:r>
      <w:r>
        <w:rPr>
          <w:b/>
          <w:bCs/>
        </w:rPr>
        <w:t xml:space="preserve">organic growth remains resilient as commercial P&amp;C insurance pricing moderates</w:t>
      </w:r>
      <w:r>
        <w:t xml:space="preserve">. The Street’s setup is neutral-to-cautious: expectations call for roughly</w:t>
      </w:r>
      <w:r>
        <w:t xml:space="preserve"> </w:t>
      </w:r>
      <w:r>
        <w:rPr>
          <w:b/>
          <w:bCs/>
        </w:rPr>
        <w:t xml:space="preserve">3.6% consolidated underlying revenue growth</w:t>
      </w:r>
      <w:r>
        <w:t xml:space="preserve">,</w:t>
      </w:r>
      <w:r>
        <w:t xml:space="preserve"> </w:t>
      </w:r>
      <w:r>
        <w:rPr>
          <w:b/>
          <w:bCs/>
        </w:rPr>
        <w:t xml:space="preserve">3.1% in Risk &amp; Insurance Services</w:t>
      </w:r>
      <w:r>
        <w:t xml:space="preserve">, a</w:t>
      </w:r>
      <w:r>
        <w:t xml:space="preserve"> </w:t>
      </w:r>
      <w:r>
        <w:rPr>
          <w:b/>
          <w:bCs/>
        </w:rPr>
        <w:t xml:space="preserve">29.3% operating margin</w:t>
      </w:r>
      <w:r>
        <w:t xml:space="preserve">, and</w:t>
      </w:r>
      <w:r>
        <w:t xml:space="preserve"> </w:t>
      </w:r>
      <w:r>
        <w:rPr>
          <w:b/>
          <w:bCs/>
        </w:rPr>
        <w:t xml:space="preserve">$2.90 of EPS</w:t>
      </w:r>
      <w:r>
        <w:t xml:space="preserve">.</w:t>
      </w:r>
    </w:p>
    <w:p>
      <w:pPr>
        <w:pStyle w:val="BodyText"/>
      </w:pPr>
      <w:r>
        <w:t xml:space="preserve">That is a notably more modest organic-growth hurdle than the company’s long-run profile and its 1Q26 performance. Consequently, the stock reaction will likely depend more on the</w:t>
      </w:r>
      <w:r>
        <w:t xml:space="preserve"> </w:t>
      </w:r>
      <w:r>
        <w:rPr>
          <w:i/>
          <w:iCs/>
        </w:rPr>
        <w:t xml:space="preserve">quality and trajectory</w:t>
      </w:r>
      <w:r>
        <w:t xml:space="preserve"> </w:t>
      </w:r>
      <w:r>
        <w:t xml:space="preserve">of growth—particularly at Marsh Risk—than on a modest EPS beat.</w:t>
      </w:r>
    </w:p>
    <w:bookmarkEnd w:id="9"/>
    <w:bookmarkStart w:id="10" w:name="what-investors-expect"/>
    <w:p>
      <w:pPr>
        <w:pStyle w:val="Heading2"/>
      </w:pPr>
      <w:r>
        <w:t xml:space="preserve">What investors expect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expectation / focus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Consolidated underlying 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~3.6%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Risk &amp; Insurance underlying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~3.1%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~29.3%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~$2.90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Primary debate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Can Marsh sustain mid-single-digit organic growth despite easing insurance rates?</w:t>
            </w:r>
          </w:p>
        </w:tc>
      </w:tr>
    </w:tbl>
    <w:bookmarkEnd w:id="10"/>
    <w:bookmarkStart w:id="14" w:name="why-the-quarter-matters"/>
    <w:p>
      <w:pPr>
        <w:pStyle w:val="Heading2"/>
      </w:pPr>
      <w:r>
        <w:t xml:space="preserve">Why the quarter matters</w:t>
      </w:r>
    </w:p>
    <w:bookmarkStart w:id="11" w:name="X6dc3be0ad6f1a2e7471131d07b3bb88d7441852"/>
    <w:p>
      <w:pPr>
        <w:pStyle w:val="Heading3"/>
      </w:pPr>
      <w:r>
        <w:t xml:space="preserve">1. Marsh Risk growth is the central KPI</w:t>
      </w:r>
    </w:p>
    <w:p>
      <w:pPr>
        <w:pStyle w:val="FirstParagraph"/>
      </w:pPr>
      <w:r>
        <w:t xml:space="preserve">Marsh Risk is the company’s largest earnings driver. In 1Q26, it delivered</w:t>
      </w:r>
      <w:r>
        <w:t xml:space="preserve"> </w:t>
      </w:r>
      <w:r>
        <w:rPr>
          <w:b/>
          <w:bCs/>
        </w:rPr>
        <w:t xml:space="preserve">4% underlying revenue growth</w:t>
      </w:r>
      <w:r>
        <w:t xml:space="preserve">, with</w:t>
      </w:r>
      <w:r>
        <w:t xml:space="preserve"> </w:t>
      </w:r>
      <w:r>
        <w:rPr>
          <w:b/>
          <w:bCs/>
        </w:rPr>
        <w:t xml:space="preserve">3% in U.S./Canada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5% internationally</w:t>
      </w:r>
      <w:r>
        <w:t xml:space="preserve">. International growth was led by</w:t>
      </w:r>
      <w:r>
        <w:t xml:space="preserve"> </w:t>
      </w:r>
      <w:r>
        <w:rPr>
          <w:b/>
          <w:bCs/>
        </w:rPr>
        <w:t xml:space="preserve">EMEA at 6%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Asia Pacific at 5%</w:t>
      </w:r>
      <w:r>
        <w:t xml:space="preserve">.</w:t>
      </w:r>
    </w:p>
    <w:p>
      <w:pPr>
        <w:pStyle w:val="BodyText"/>
      </w:pPr>
      <w:r>
        <w:t xml:space="preserve">For 2Q, investors will want to see whether Marsh Risk can hold near that 3%–4% underlying-growth range. A result materially below the Street’s ~3.1% expectation would reinforce the concern that lower premium-rate increases are beginning to weigh more heavily on brokerage revenue growth. Conversely, a 4%-plus print—especially if U.S./Canada remains steady—would support the view that client retention, exposure growth, new business, specialty products, and international execution can offset pricing normalization.</w:t>
      </w:r>
    </w:p>
    <w:p>
      <w:pPr>
        <w:pStyle w:val="BodyText"/>
      </w:pPr>
      <w:r>
        <w:rPr>
          <w:b/>
          <w:bCs/>
        </w:rPr>
        <w:t xml:space="preserve">What matters inside the number:</w:t>
      </w:r>
    </w:p>
    <w:p>
      <w:pPr>
        <w:pStyle w:val="Compact"/>
        <w:numPr>
          <w:ilvl w:val="0"/>
          <w:numId w:val="1001"/>
        </w:numPr>
      </w:pPr>
      <w:r>
        <w:t xml:space="preserve">U.S./Canada organic growth versus the 3% delivered in 1Q.</w:t>
      </w:r>
    </w:p>
    <w:p>
      <w:pPr>
        <w:pStyle w:val="Compact"/>
        <w:numPr>
          <w:ilvl w:val="0"/>
          <w:numId w:val="1001"/>
        </w:numPr>
      </w:pPr>
      <w:r>
        <w:t xml:space="preserve">International growth, especially EMEA and Asia Pacific.</w:t>
      </w:r>
    </w:p>
    <w:p>
      <w:pPr>
        <w:pStyle w:val="Compact"/>
        <w:numPr>
          <w:ilvl w:val="0"/>
          <w:numId w:val="1001"/>
        </w:numPr>
      </w:pPr>
      <w:r>
        <w:t xml:space="preserve">Commentary on insurance-rate trends by major line, carrier behavior, and client demand.</w:t>
      </w:r>
    </w:p>
    <w:p>
      <w:pPr>
        <w:pStyle w:val="Compact"/>
        <w:numPr>
          <w:ilvl w:val="0"/>
          <w:numId w:val="1001"/>
        </w:numPr>
      </w:pPr>
      <w:r>
        <w:t xml:space="preserve">New-business activity and retention, even if management provides only qualitative color.</w:t>
      </w:r>
    </w:p>
    <w:bookmarkEnd w:id="11"/>
    <w:bookmarkStart w:id="12" w:name="Xec5c92bc9c9a57456170dcb3a0a70def46c965a"/>
    <w:p>
      <w:pPr>
        <w:pStyle w:val="Heading3"/>
      </w:pPr>
      <w:r>
        <w:t xml:space="preserve">2. Consulting must continue to offset any insurance-cycle deceleration</w:t>
      </w:r>
    </w:p>
    <w:p>
      <w:pPr>
        <w:pStyle w:val="FirstParagraph"/>
      </w:pPr>
      <w:r>
        <w:t xml:space="preserve">Consulting was the upside contributor in 1Q26, with</w:t>
      </w:r>
      <w:r>
        <w:t xml:space="preserve"> </w:t>
      </w:r>
      <w:r>
        <w:rPr>
          <w:b/>
          <w:bCs/>
        </w:rPr>
        <w:t xml:space="preserve">5% underlying growth</w:t>
      </w:r>
      <w:r>
        <w:t xml:space="preserve">. Mercer grew 5%, supported by</w:t>
      </w:r>
      <w:r>
        <w:t xml:space="preserve"> </w:t>
      </w:r>
      <w:r>
        <w:rPr>
          <w:b/>
          <w:bCs/>
        </w:rPr>
        <w:t xml:space="preserve">Wealth (+5%)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Health (+6%)</w:t>
      </w:r>
      <w:r>
        <w:t xml:space="preserve">, while</w:t>
      </w:r>
      <w:r>
        <w:t xml:space="preserve"> </w:t>
      </w:r>
      <w:r>
        <w:rPr>
          <w:b/>
          <w:bCs/>
        </w:rPr>
        <w:t xml:space="preserve">Career declined 2%</w:t>
      </w:r>
      <w:r>
        <w:t xml:space="preserve">. Marsh Management Consulting grew</w:t>
      </w:r>
      <w:r>
        <w:t xml:space="preserve"> </w:t>
      </w:r>
      <w:r>
        <w:rPr>
          <w:b/>
          <w:bCs/>
        </w:rPr>
        <w:t xml:space="preserve">6%</w:t>
      </w:r>
      <w:r>
        <w:t xml:space="preserve"> </w:t>
      </w:r>
      <w:r>
        <w:t xml:space="preserve">organically.</w:t>
      </w:r>
    </w:p>
    <w:p>
      <w:pPr>
        <w:pStyle w:val="BodyText"/>
      </w:pPr>
      <w:r>
        <w:t xml:space="preserve">That mix is important. If Risk &amp; Insurance growth moderates, investors need Consulting—particularly Mercer Health, Mercer Wealth, and Marsh Management Consulting—to remain a reliable mid-single-digit grower.</w:t>
      </w:r>
    </w:p>
    <w:p>
      <w:pPr>
        <w:pStyle w:val="BodyText"/>
      </w:pPr>
      <w:r>
        <w:t xml:space="preserve">A constructive report would show:</w:t>
      </w:r>
    </w:p>
    <w:p>
      <w:pPr>
        <w:pStyle w:val="Compact"/>
        <w:numPr>
          <w:ilvl w:val="0"/>
          <w:numId w:val="1002"/>
        </w:numPr>
      </w:pPr>
      <w:r>
        <w:t xml:space="preserve">Continued mid-single-digit growth at Mercer Wealth and Health;</w:t>
      </w:r>
    </w:p>
    <w:p>
      <w:pPr>
        <w:pStyle w:val="Compact"/>
        <w:numPr>
          <w:ilvl w:val="0"/>
          <w:numId w:val="1002"/>
        </w:numPr>
      </w:pPr>
      <w:r>
        <w:t xml:space="preserve">Stabilization or improvement in Mercer Career;</w:t>
      </w:r>
    </w:p>
    <w:p>
      <w:pPr>
        <w:pStyle w:val="Compact"/>
        <w:numPr>
          <w:ilvl w:val="0"/>
          <w:numId w:val="1002"/>
        </w:numPr>
      </w:pPr>
      <w:r>
        <w:t xml:space="preserve">Sustained demand for management-consulting work despite macro and trade-policy uncertainty.</w:t>
      </w:r>
    </w:p>
    <w:bookmarkEnd w:id="12"/>
    <w:bookmarkStart w:id="13" w:name="X7f7f9466580700c64b29c37548d27b7abd24351"/>
    <w:p>
      <w:pPr>
        <w:pStyle w:val="Heading3"/>
      </w:pPr>
      <w:r>
        <w:t xml:space="preserve">3. Margin delivery needs to validate the Thrive program</w:t>
      </w:r>
    </w:p>
    <w:p>
      <w:pPr>
        <w:pStyle w:val="FirstParagraph"/>
      </w:pPr>
      <w:r>
        <w:t xml:space="preserve">Marsh ended 2025 with its</w:t>
      </w:r>
      <w:r>
        <w:t xml:space="preserve"> </w:t>
      </w:r>
      <w:r>
        <w:rPr>
          <w:b/>
          <w:bCs/>
        </w:rPr>
        <w:t xml:space="preserve">18th consecutive year of reported margin expansion</w:t>
      </w:r>
      <w:r>
        <w:t xml:space="preserve">, and management has positioned the three-year</w:t>
      </w:r>
      <w:r>
        <w:t xml:space="preserve"> </w:t>
      </w:r>
      <w:r>
        <w:rPr>
          <w:b/>
          <w:bCs/>
        </w:rPr>
        <w:t xml:space="preserve">Thrive</w:t>
      </w:r>
      <w:r>
        <w:t xml:space="preserve"> </w:t>
      </w:r>
      <w:r>
        <w:t xml:space="preserve">program around operating-model optimization, automation, efficiency, and client-value initiatives.</w:t>
      </w:r>
    </w:p>
    <w:p>
      <w:pPr>
        <w:pStyle w:val="BodyText"/>
      </w:pPr>
      <w:r>
        <w:t xml:space="preserve">In 1Q26, adjusted operating income grew</w:t>
      </w:r>
      <w:r>
        <w:t xml:space="preserve"> </w:t>
      </w:r>
      <w:r>
        <w:rPr>
          <w:b/>
          <w:bCs/>
        </w:rPr>
        <w:t xml:space="preserve">8%</w:t>
      </w:r>
      <w:r>
        <w:t xml:space="preserve"> </w:t>
      </w:r>
      <w:r>
        <w:t xml:space="preserve">and adjusted margin held at</w:t>
      </w:r>
      <w:r>
        <w:t xml:space="preserve"> </w:t>
      </w:r>
      <w:r>
        <w:rPr>
          <w:b/>
          <w:bCs/>
        </w:rPr>
        <w:t xml:space="preserve">31.8%</w:t>
      </w:r>
      <w:r>
        <w:t xml:space="preserve">, despite only 4% underlying revenue growth. That demonstrates good cost discipline, but 2Q will be a more meaningful test of whether operating leverage can persist as top-line growth decelerates.</w:t>
      </w:r>
    </w:p>
    <w:p>
      <w:pPr>
        <w:pStyle w:val="BodyText"/>
      </w:pPr>
      <w:r>
        <w:t xml:space="preserve">Watch for:</w:t>
      </w:r>
    </w:p>
    <w:p>
      <w:pPr>
        <w:pStyle w:val="Compact"/>
        <w:numPr>
          <w:ilvl w:val="0"/>
          <w:numId w:val="1003"/>
        </w:numPr>
      </w:pPr>
      <w:r>
        <w:t xml:space="preserve">Consolidated adjusted operating margin relative to the roughly</w:t>
      </w:r>
      <w:r>
        <w:t xml:space="preserve"> </w:t>
      </w:r>
      <w:r>
        <w:rPr>
          <w:b/>
          <w:bCs/>
        </w:rPr>
        <w:t xml:space="preserve">29.3%</w:t>
      </w:r>
      <w:r>
        <w:t xml:space="preserve"> </w:t>
      </w:r>
      <w:r>
        <w:t xml:space="preserve">consensus expectation;</w:t>
      </w:r>
    </w:p>
    <w:p>
      <w:pPr>
        <w:pStyle w:val="Compact"/>
        <w:numPr>
          <w:ilvl w:val="0"/>
          <w:numId w:val="1003"/>
        </w:numPr>
      </w:pPr>
      <w:r>
        <w:t xml:space="preserve">Segment-margin performance in Risk &amp; Insurance versus Consulting;</w:t>
      </w:r>
    </w:p>
    <w:p>
      <w:pPr>
        <w:pStyle w:val="Compact"/>
        <w:numPr>
          <w:ilvl w:val="0"/>
          <w:numId w:val="1003"/>
        </w:numPr>
      </w:pPr>
      <w:r>
        <w:t xml:space="preserve">Compensation-cost growth, a key variable for a talent-intensive professional-services company;</w:t>
      </w:r>
    </w:p>
    <w:p>
      <w:pPr>
        <w:pStyle w:val="Compact"/>
        <w:numPr>
          <w:ilvl w:val="0"/>
          <w:numId w:val="1003"/>
        </w:numPr>
      </w:pPr>
      <w:r>
        <w:t xml:space="preserve">Restructuring and implementation costs from Thrive, and any quantified savings outlook.</w:t>
      </w:r>
    </w:p>
    <w:bookmarkEnd w:id="13"/>
    <w:bookmarkEnd w:id="14"/>
    <w:bookmarkStart w:id="15" w:name="Xe9d6afde0067688d3642b0360496c7d59b23a4d"/>
    <w:p>
      <w:pPr>
        <w:pStyle w:val="Heading2"/>
      </w:pPr>
      <w:r>
        <w:t xml:space="preserve">The major accounting and risk item: Greensill litigation</w:t>
      </w:r>
    </w:p>
    <w:p>
      <w:pPr>
        <w:pStyle w:val="FirstParagraph"/>
      </w:pPr>
      <w:r>
        <w:t xml:space="preserve">1Q26 GAAP results were distorted by a</w:t>
      </w:r>
      <w:r>
        <w:t xml:space="preserve"> </w:t>
      </w:r>
      <w:r>
        <w:rPr>
          <w:b/>
          <w:bCs/>
        </w:rPr>
        <w:t xml:space="preserve">$425 million Greensill litigation charge**, recorded in Risk &amp; Insurance Services. As a result, reported operating income fell 12% year over year, even as adjusted operating income rose 8% and adjusted EPS increased 8% to **$</w:t>
      </w:r>
      <w:r>
        <w:rPr>
          <w:b/>
          <w:bCs/>
        </w:rPr>
        <w:t xml:space="preserve">3.29</w:t>
      </w:r>
      <w:r>
        <w:t xml:space="preserve">.</w:t>
      </w:r>
    </w:p>
    <w:p>
      <w:pPr>
        <w:pStyle w:val="BodyText"/>
      </w:pPr>
      <w:r>
        <w:t xml:space="preserve">For 2Q, investors should separate the operating result from legal-accounting noise: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Best outcome:</w:t>
      </w:r>
      <w:r>
        <w:t xml:space="preserve"> </w:t>
      </w:r>
      <w:r>
        <w:t xml:space="preserve">no material incremental charge, with clear disclosure that the first-quarter reserve remains management’s best estimate.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Risk case:</w:t>
      </w:r>
      <w:r>
        <w:t xml:space="preserve"> </w:t>
      </w:r>
      <w:r>
        <w:t xml:space="preserve">another reserve increase, adverse legal development, or vaguer language around potential exposure.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Analytical implication:</w:t>
      </w:r>
      <w:r>
        <w:t xml:space="preserve"> </w:t>
      </w:r>
      <w:r>
        <w:t xml:space="preserve">adjusted EPS is likely the cleaner indicator of core performance, but the litigation item remains relevant for cash flow, valuation, and risk perception.</w:t>
      </w:r>
    </w:p>
    <w:bookmarkEnd w:id="15"/>
    <w:bookmarkStart w:id="16" w:name="Xc681812310f0d52e1358547313866103ca2a951"/>
    <w:p>
      <w:pPr>
        <w:pStyle w:val="Heading2"/>
      </w:pPr>
      <w:r>
        <w:t xml:space="preserve">Capital allocation and balance-sheet context</w:t>
      </w:r>
    </w:p>
    <w:p>
      <w:pPr>
        <w:pStyle w:val="FirstParagraph"/>
      </w:pPr>
      <w:r>
        <w:t xml:space="preserve">Marsh repurchased approximately</w:t>
      </w:r>
      <w:r>
        <w:t xml:space="preserve"> </w:t>
      </w:r>
      <m:oMath>
        <m:r>
          <m:t>750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i</m:t>
        </m:r>
        <m:r>
          <m:t>n</m:t>
        </m:r>
        <m:r>
          <m:t>1</m:t>
        </m:r>
        <m:r>
          <m:t>Q</m:t>
        </m:r>
        <m:r>
          <m:t>26</m:t>
        </m:r>
        <m:r>
          <m:rPr>
            <m:sty m:val="p"/>
          </m:rPr>
          <m:t>,</m:t>
        </m:r>
        <m:r>
          <m:t>o</m:t>
        </m:r>
        <m:r>
          <m:t>r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4.2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f</m:t>
        </m:r>
        <m:r>
          <m:t>o</m:t>
        </m:r>
        <m:r>
          <m:t>l</m:t>
        </m:r>
        <m:r>
          <m:t>l</m:t>
        </m:r>
        <m:r>
          <m:t>o</m:t>
        </m:r>
        <m:r>
          <m:t>w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2.0 billion</w:t>
      </w:r>
      <w:r>
        <w:t xml:space="preserve"> </w:t>
      </w:r>
      <w:r>
        <w:t xml:space="preserve">of repurchases in 2025. The company also continues to pay a meaningful dividend.</w:t>
      </w:r>
    </w:p>
    <w:p>
      <w:pPr>
        <w:pStyle w:val="BodyText"/>
      </w:pPr>
      <w:r>
        <w:t xml:space="preserve">The balance sheet carries approximately</w:t>
      </w:r>
      <w:r>
        <w:t xml:space="preserve"> </w:t>
      </w:r>
      <w:r>
        <w:rPr>
          <w:b/>
          <w:bCs/>
        </w:rPr>
        <w:t xml:space="preserve">$20.6 billion of debt</w:t>
      </w:r>
      <w:r>
        <w:t xml:space="preserve"> </w:t>
      </w:r>
      <w:r>
        <w:t xml:space="preserve">as of March 31, 2026, against $1.6 billion of corporate cash; fiduciary cash should not be viewed as freely available corporate liquidity. The company issued and repaid $600 million of senior notes during 1Q, suggesting ordinary refinancing activity rather than a major shift in capital structure.</w:t>
      </w:r>
    </w:p>
    <w:p>
      <w:pPr>
        <w:pStyle w:val="BodyText"/>
      </w:pPr>
      <w:r>
        <w:t xml:space="preserve">The call should clarify whether Marsh intends to maintain its current repurchase cadence while funding:</w:t>
      </w:r>
    </w:p>
    <w:p>
      <w:pPr>
        <w:pStyle w:val="Compact"/>
        <w:numPr>
          <w:ilvl w:val="0"/>
          <w:numId w:val="1005"/>
        </w:numPr>
      </w:pPr>
      <w:r>
        <w:t xml:space="preserve">Thrive investment and restructuring;</w:t>
      </w:r>
    </w:p>
    <w:p>
      <w:pPr>
        <w:pStyle w:val="Compact"/>
        <w:numPr>
          <w:ilvl w:val="0"/>
          <w:numId w:val="1005"/>
        </w:numPr>
      </w:pPr>
      <w:r>
        <w:t xml:space="preserve">Smaller bolt-on acquisitions;</w:t>
      </w:r>
    </w:p>
    <w:p>
      <w:pPr>
        <w:pStyle w:val="Compact"/>
        <w:numPr>
          <w:ilvl w:val="0"/>
          <w:numId w:val="1005"/>
        </w:numPr>
      </w:pPr>
      <w:r>
        <w:t xml:space="preserve">Litigation-related cash needs, if any;</w:t>
      </w:r>
    </w:p>
    <w:p>
      <w:pPr>
        <w:pStyle w:val="Compact"/>
        <w:numPr>
          <w:ilvl w:val="0"/>
          <w:numId w:val="1005"/>
        </w:numPr>
      </w:pPr>
      <w:r>
        <w:t xml:space="preserve">Deleveraging priorities following the McGriff acquisition.</w:t>
      </w:r>
    </w:p>
    <w:bookmarkEnd w:id="16"/>
    <w:bookmarkStart w:id="17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MRSH closed at</w:t>
      </w:r>
      <w:r>
        <w:t xml:space="preserve"> </w:t>
      </w:r>
      <w:r>
        <w:rPr>
          <w:b/>
          <w:bCs/>
        </w:rPr>
        <w:t xml:space="preserve">$182.13 on July 20</w:t>
      </w:r>
      <w:r>
        <w:t xml:space="preserve">. The stock is up about</w:t>
      </w:r>
      <w:r>
        <w:t xml:space="preserve"> </w:t>
      </w:r>
      <w:r>
        <w:rPr>
          <w:b/>
          <w:bCs/>
        </w:rPr>
        <w:t xml:space="preserve">6% since April 1</w:t>
      </w:r>
      <w:r>
        <w:t xml:space="preserve"> </w:t>
      </w:r>
      <w:r>
        <w:t xml:space="preserve">and roughly</w:t>
      </w:r>
      <w:r>
        <w:t xml:space="preserve"> </w:t>
      </w:r>
      <w:r>
        <w:rPr>
          <w:b/>
          <w:bCs/>
        </w:rPr>
        <w:t xml:space="preserve">14% from its late-May low</w:t>
      </w:r>
      <w:r>
        <w:t xml:space="preserve">, but it has largely recovered rather than decisively rerated. That suggests investors are not pricing in an especially aggressive organic-growth reacceleration.</w:t>
      </w:r>
    </w:p>
    <w:p>
      <w:pPr>
        <w:pStyle w:val="BodyText"/>
      </w:pPr>
      <w:r>
        <w:t xml:space="preserve">The first-quarter earnings release produced an initial favorable reaction—shares rose about</w:t>
      </w:r>
      <w:r>
        <w:t xml:space="preserve"> </w:t>
      </w:r>
      <w:r>
        <w:rPr>
          <w:b/>
          <w:bCs/>
        </w:rPr>
        <w:t xml:space="preserve">4.4% on April 16</w:t>
      </w:r>
      <w:r>
        <w:t xml:space="preserve">—but the move faded quickly. This time, an EPS beat without a convincing growth narrative may not be enough. The market is likely looking for evidence that Marsh can defend its premium valuation through a softer insurance-pricing environment.</w:t>
      </w:r>
    </w:p>
    <w:bookmarkEnd w:id="17"/>
    <w:bookmarkStart w:id="21" w:name="bull-base-and-bear-outcomes"/>
    <w:p>
      <w:pPr>
        <w:pStyle w:val="Heading2"/>
      </w:pPr>
      <w:r>
        <w:t xml:space="preserve">Bull, base, and bear outcomes</w:t>
      </w:r>
    </w:p>
    <w:bookmarkStart w:id="18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6"/>
        </w:numPr>
      </w:pPr>
      <w:r>
        <w:t xml:space="preserve">Underlying growth reaches or exceeds 4%;</w:t>
      </w:r>
    </w:p>
    <w:p>
      <w:pPr>
        <w:pStyle w:val="Compact"/>
        <w:numPr>
          <w:ilvl w:val="0"/>
          <w:numId w:val="1006"/>
        </w:numPr>
      </w:pPr>
      <w:r>
        <w:t xml:space="preserve">Marsh Risk is above the ~3.1% expectation, with stable U.S./Canada trends;</w:t>
      </w:r>
    </w:p>
    <w:p>
      <w:pPr>
        <w:pStyle w:val="Compact"/>
        <w:numPr>
          <w:ilvl w:val="0"/>
          <w:numId w:val="1006"/>
        </w:numPr>
      </w:pPr>
      <w:r>
        <w:t xml:space="preserve">Consulting stays at mid-single-digit growth;</w:t>
      </w:r>
    </w:p>
    <w:p>
      <w:pPr>
        <w:pStyle w:val="Compact"/>
        <w:numPr>
          <w:ilvl w:val="0"/>
          <w:numId w:val="1006"/>
        </w:numPr>
      </w:pPr>
      <w:r>
        <w:t xml:space="preserve">Margins outperform through productivity and cost control;</w:t>
      </w:r>
    </w:p>
    <w:p>
      <w:pPr>
        <w:pStyle w:val="Compact"/>
        <w:numPr>
          <w:ilvl w:val="0"/>
          <w:numId w:val="1006"/>
        </w:numPr>
      </w:pPr>
      <w:r>
        <w:t xml:space="preserve">No additional Greensill reserve; management offers reassuring legal commentary;</w:t>
      </w:r>
    </w:p>
    <w:p>
      <w:pPr>
        <w:pStyle w:val="Compact"/>
        <w:numPr>
          <w:ilvl w:val="0"/>
          <w:numId w:val="1006"/>
        </w:numPr>
      </w:pPr>
      <w:r>
        <w:t xml:space="preserve">Buybacks remain robust.</w:t>
      </w:r>
    </w:p>
    <w:bookmarkEnd w:id="18"/>
    <w:bookmarkStart w:id="19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07"/>
        </w:numPr>
      </w:pPr>
      <w:r>
        <w:t xml:space="preserve">Organic growth lands around 3%–4%;</w:t>
      </w:r>
    </w:p>
    <w:p>
      <w:pPr>
        <w:pStyle w:val="Compact"/>
        <w:numPr>
          <w:ilvl w:val="0"/>
          <w:numId w:val="1007"/>
        </w:numPr>
      </w:pPr>
      <w:r>
        <w:t xml:space="preserve">EPS meets or slightly exceeds the ~$2.90 expectation;</w:t>
      </w:r>
    </w:p>
    <w:p>
      <w:pPr>
        <w:pStyle w:val="Compact"/>
        <w:numPr>
          <w:ilvl w:val="0"/>
          <w:numId w:val="1007"/>
        </w:numPr>
      </w:pPr>
      <w:r>
        <w:t xml:space="preserve">Margins are in line;</w:t>
      </w:r>
    </w:p>
    <w:p>
      <w:pPr>
        <w:pStyle w:val="Compact"/>
        <w:numPr>
          <w:ilvl w:val="0"/>
          <w:numId w:val="1007"/>
        </w:numPr>
      </w:pPr>
      <w:r>
        <w:t xml:space="preserve">Marsh acknowledges moderating rate-related tailwinds but reiterates confidence in client demand, new business, and Thrive savings;</w:t>
      </w:r>
    </w:p>
    <w:p>
      <w:pPr>
        <w:pStyle w:val="Compact"/>
        <w:numPr>
          <w:ilvl w:val="0"/>
          <w:numId w:val="1007"/>
        </w:numPr>
      </w:pPr>
      <w:r>
        <w:t xml:space="preserve">Legal disclosures are unchanged.</w:t>
      </w:r>
    </w:p>
    <w:bookmarkEnd w:id="19"/>
    <w:bookmarkStart w:id="20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08"/>
        </w:numPr>
      </w:pPr>
      <w:r>
        <w:t xml:space="preserve">Marsh Risk growth drops below 3%, particularly in U.S./Canada;</w:t>
      </w:r>
    </w:p>
    <w:p>
      <w:pPr>
        <w:pStyle w:val="Compact"/>
        <w:numPr>
          <w:ilvl w:val="0"/>
          <w:numId w:val="1008"/>
        </w:numPr>
      </w:pPr>
      <w:r>
        <w:t xml:space="preserve">Consulting slows at the same time, leaving few offsets;</w:t>
      </w:r>
    </w:p>
    <w:p>
      <w:pPr>
        <w:pStyle w:val="Compact"/>
        <w:numPr>
          <w:ilvl w:val="0"/>
          <w:numId w:val="1008"/>
        </w:numPr>
      </w:pPr>
      <w:r>
        <w:t xml:space="preserve">Compensation, investment, or restructuring costs pressure margins;</w:t>
      </w:r>
    </w:p>
    <w:p>
      <w:pPr>
        <w:pStyle w:val="Compact"/>
        <w:numPr>
          <w:ilvl w:val="0"/>
          <w:numId w:val="1008"/>
        </w:numPr>
      </w:pPr>
      <w:r>
        <w:t xml:space="preserve">Management becomes more cautious on the insurance-pricing backdrop;</w:t>
      </w:r>
    </w:p>
    <w:p>
      <w:pPr>
        <w:pStyle w:val="Compact"/>
        <w:numPr>
          <w:ilvl w:val="0"/>
          <w:numId w:val="1008"/>
        </w:numPr>
      </w:pPr>
      <w:r>
        <w:t xml:space="preserve">Greensill creates an incremental charge or greater uncertainty.</w:t>
      </w:r>
    </w:p>
    <w:bookmarkEnd w:id="20"/>
    <w:bookmarkEnd w:id="21"/>
    <w:bookmarkStart w:id="22" w:name="questions-for-management"/>
    <w:p>
      <w:pPr>
        <w:pStyle w:val="Heading2"/>
      </w:pPr>
      <w:r>
        <w:t xml:space="preserve">Questions for management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How much of 2Q organic growth reflects client exposure, retention, new business, and pricing?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What is the current trajectory for commercial P&amp;C premium-rate changes, and where is pricing moderating most quickly?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Can Marsh Risk sustain at least low-to-mid-single-digit organic growth if rate increases continue to ease?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What concrete Thrive savings have been realized, and what should investors expect for full-year savings and costs?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How should investors model normalized compensation growth and operating leverage for the remainder of 2026?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Has the Greensill litigation reserve or expected cash exposure changed since the $425 million first-quarter charge?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Will the company sustain its 1Q repurchase pace, given leverage, legal uncertainty, and acquisition opportunities?</w:t>
      </w:r>
    </w:p>
    <w:bookmarkEnd w:id="22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MRSH enters 2Q26 with a relatively manageable earnings bar but a more consequential</w:t>
      </w:r>
      <w:r>
        <w:t xml:space="preserve"> </w:t>
      </w:r>
      <w:r>
        <w:rPr>
          <w:b/>
          <w:bCs/>
        </w:rPr>
        <w:t xml:space="preserve">organic-growth and outlook bar</w:t>
      </w:r>
      <w:r>
        <w:t xml:space="preserve">. A clean result requires Risk &amp; Insurance growth at or above expectations, continued Consulting resilience, and margin discipline that proves Thrive can offset a less favorable insurance-pricing backdrop. The largest downside risk is not a small EPS miss; it is evidence that organic growth is slipping below the low-single-digit range while legal uncertainty and restructuring costs remain elevated.</w:t>
      </w:r>
    </w:p>
    <w:p>
      <w:pPr>
        <w:pStyle w:val="BodyText"/>
      </w:pPr>
      <w:r>
        <w:rPr>
          <w:b/>
          <w:bCs/>
        </w:rPr>
        <w:t xml:space="preserve">Research basis:</w:t>
      </w:r>
      <w:r>
        <w:t xml:space="preserve"> </w:t>
      </w:r>
      <w:r>
        <w:t xml:space="preserve">Marsh’s 1Q26 earnings release; Marsh’s 4Q/full-year 2025 earnings release; Marsh’s July 17, 2026 market preview digest; and MRSH closing-price data through July 20, 2026.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2026-07-21T00:14:49Z</dcterms:created>
  <dcterms:modified xsi:type="dcterms:W3CDTF">2026-07-21T00:14:49Z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