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Earnings Preview: Marsh &amp; McLennan Companies (NYSE: MRSH)</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Marsh &amp; McLennan Companies, Inc.</w:t>
            </w:r>
          </w:p>
        </w:tc>
      </w:tr>
      <w:tr>
        <w:tc>
          <w:tcPr>
            <w:tcW w:type="dxa" w:w="4320"/>
          </w:tcPr>
          <w:p>
            <w:r>
              <w:rPr>
                <w:rFonts w:ascii="Calibri" w:hAnsi="Calibri"/>
                <w:b/>
                <w:sz w:val="22"/>
              </w:rPr>
              <w:t>Ticker</w:t>
            </w:r>
          </w:p>
        </w:tc>
        <w:tc>
          <w:tcPr>
            <w:tcW w:type="dxa" w:w="4320"/>
          </w:tcPr>
          <w:p>
            <w:r>
              <w:rPr>
                <w:rFonts w:ascii="Calibri" w:hAnsi="Calibri"/>
                <w:sz w:val="22"/>
              </w:rPr>
              <w:t>NYSE: MRSH</w:t>
            </w:r>
          </w:p>
        </w:tc>
      </w:tr>
      <w:tr>
        <w:tc>
          <w:tcPr>
            <w:tcW w:type="dxa" w:w="4320"/>
          </w:tcPr>
          <w:p>
            <w:r>
              <w:rPr>
                <w:rFonts w:ascii="Calibri" w:hAnsi="Calibri"/>
                <w:b/>
                <w:sz w:val="22"/>
              </w:rPr>
              <w:t>Upcoming Earnings Date</w:t>
            </w:r>
          </w:p>
        </w:tc>
        <w:tc>
          <w:tcPr>
            <w:tcW w:type="dxa" w:w="4320"/>
          </w:tcPr>
          <w:p>
            <w:r>
              <w:rPr>
                <w:rFonts w:ascii="Calibri" w:hAnsi="Calibri"/>
                <w:sz w:val="22"/>
              </w:rPr>
              <w:t>July 21, 2026 (Before Market Open)</w:t>
            </w:r>
          </w:p>
        </w:tc>
      </w:tr>
      <w:tr>
        <w:tc>
          <w:tcPr>
            <w:tcW w:type="dxa" w:w="4320"/>
          </w:tcPr>
          <w:p>
            <w:r>
              <w:rPr>
                <w:rFonts w:ascii="Calibri" w:hAnsi="Calibri"/>
                <w:b/>
                <w:sz w:val="22"/>
              </w:rPr>
              <w:t>Earnings Call</w:t>
            </w:r>
          </w:p>
        </w:tc>
        <w:tc>
          <w:tcPr>
            <w:tcW w:type="dxa" w:w="4320"/>
          </w:tcPr>
          <w:p>
            <w:r>
              <w:rPr>
                <w:rFonts w:ascii="Calibri" w:hAnsi="Calibri"/>
                <w:sz w:val="22"/>
              </w:rPr>
              <w:t>July 21, 2026 at 8:30 AM EDT — CEO John Doyle, CFO Mark McGivney</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modest beat — consensus sits at a manageable bar ($2.89 Adj. EPS, $7.28B revenue) and MRSH has beaten in each of the last four quarters, but softening estimate momentum and a stock that has de-rated from its highs leave little room for a miss on organic growth.</w:t>
      </w:r>
    </w:p>
    <w:p>
      <w:r>
        <w:rPr>
          <w:rFonts w:ascii="Calibri" w:hAnsi="Calibri"/>
          <w:color w:val="525866"/>
          <w:sz w:val="22"/>
        </w:rPr>
        <w:t xml:space="preserve">Heading into Q2 2026, the bar for Marsh &amp; McLennan looks achievable but not easy. </w:t>
      </w:r>
      <w:r>
        <w:rPr>
          <w:rFonts w:ascii="Calibri" w:hAnsi="Calibri"/>
          <w:b/>
          <w:color w:val="525866"/>
          <w:sz w:val="22"/>
        </w:rPr>
        <w:t>Consensus Adj. EPS of ~$2.89 implies ~6% YoY growth</w:t>
      </w:r>
      <w:r>
        <w:rPr>
          <w:rFonts w:ascii="Calibri" w:hAnsi="Calibri"/>
          <w:color w:val="525866"/>
          <w:sz w:val="22"/>
        </w:rPr>
        <w:t xml:space="preserve"> — a step-down from Q1's 8% — while revenue consensus of $7.28B implies ~4.2% YoY growth, consistent with management's full-year guidance of underlying growth "similar to last year" (~4%). The estimate trajectory has softened: EPS estimates have drifted down ~0.5% over the past 60 days with three downward revisions and no upward moves, and revenue estimates have followed a similar pattern, suggesting the Street is cautious rather than optimistic. Management's tone at Q1 was constructive but measured — they flagged that </w:t>
      </w:r>
      <w:r>
        <w:rPr>
          <w:rFonts w:ascii="Calibri" w:hAnsi="Calibri"/>
          <w:b/>
          <w:color w:val="525866"/>
          <w:sz w:val="22"/>
        </w:rPr>
        <w:t>more margin expansion is expected in H2 than H1</w:t>
      </w:r>
      <w:r>
        <w:rPr>
          <w:rFonts w:ascii="Calibri" w:hAnsi="Calibri"/>
          <w:color w:val="525866"/>
          <w:sz w:val="22"/>
        </w:rPr>
        <w:t xml:space="preserve">, which sets a lower bar for Q2 margins specifically. The stock has de-rated meaningfully from its 52-week high of $213.80 to ~$182, trading at ~17.6x forward earnings, which is a more neutral setup than the premium multiple seen earlier in the year. The key wildcard is </w:t>
      </w:r>
      <w:r>
        <w:rPr>
          <w:rFonts w:ascii="Calibri" w:hAnsi="Calibri"/>
          <w:b/>
          <w:color w:val="525866"/>
          <w:sz w:val="22"/>
        </w:rPr>
        <w:t>organic growth in the Risk &amp; Insurance Services segment</w:t>
      </w:r>
      <w:r>
        <w:rPr>
          <w:rFonts w:ascii="Calibri" w:hAnsi="Calibri"/>
          <w:color w:val="525866"/>
          <w:sz w:val="22"/>
        </w:rPr>
        <w:t>: peer commentary from AJG and AON signals softening property rates (down 9–11%) offset by firmer casualty lines, and any upside surprise in Marsh's underlying RIS growth above the ~3.5–4% consensus expectation could be the catalyst for a positive reaction.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low-to-moderate bar on revenue (~$7.28B, +4.2% YoY) and Adj. EPS (~$2.89, +6% YoY), both in line with management's full-year guidance framework. </w:t>
      </w:r>
      <w:r>
        <w:rPr>
          <w:rFonts w:ascii="Calibri" w:hAnsi="Calibri"/>
          <w:b/>
          <w:color w:val="525866"/>
          <w:sz w:val="22"/>
        </w:rPr>
        <w:t>Organic revenue growth is the bigger swing factor</w:t>
      </w:r>
      <w:r>
        <w:rPr>
          <w:rFonts w:ascii="Calibri" w:hAnsi="Calibri"/>
          <w:color w:val="525866"/>
          <w:sz w:val="22"/>
        </w:rPr>
        <w:t xml:space="preserve"> — consensus expects ~3.6% underlying growth vs. the 4% delivered in Q2 2025, meaning any acceleration would be a positive surprise.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Management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$7.597B</w:t>
            </w:r>
          </w:p>
        </w:tc>
        <w:tc>
          <w:tcPr>
            <w:tcW w:type="dxa" w:w="1234"/>
          </w:tcPr>
          <w:p>
            <w:r>
              <w:rPr>
                <w:rFonts w:ascii="Calibri" w:hAnsi="Calibri"/>
                <w:sz w:val="22"/>
              </w:rPr>
              <w:t>$6.974B</w:t>
            </w:r>
          </w:p>
        </w:tc>
        <w:tc>
          <w:tcPr>
            <w:tcW w:type="dxa" w:w="1234"/>
          </w:tcPr>
          <w:p>
            <w:r>
              <w:rPr>
                <w:rFonts w:ascii="Calibri" w:hAnsi="Calibri"/>
                <w:sz w:val="22"/>
              </w:rPr>
              <w:t>$7.276B</w:t>
            </w:r>
          </w:p>
        </w:tc>
        <w:tc>
          <w:tcPr>
            <w:tcW w:type="dxa" w:w="1234"/>
          </w:tcPr>
          <w:p>
            <w:r>
              <w:rPr>
                <w:rFonts w:ascii="Calibri" w:hAnsi="Calibri"/>
                <w:sz w:val="22"/>
              </w:rPr>
              <w:t>+4.3%</w:t>
            </w:r>
          </w:p>
        </w:tc>
        <w:tc>
          <w:tcPr>
            <w:tcW w:type="dxa" w:w="1234"/>
          </w:tcPr>
          <w:p>
            <w:r>
              <w:rPr>
                <w:rFonts w:ascii="Calibri" w:hAnsi="Calibri"/>
                <w:sz w:val="22"/>
              </w:rPr>
              <w:t>~4% underlying growth (similar to 2025)</w:t>
            </w:r>
          </w:p>
        </w:tc>
        <w:tc>
          <w:tcPr>
            <w:tcW w:type="dxa" w:w="1234"/>
          </w:tcPr>
          <w:p>
            <w:r>
              <w:rPr>
                <w:rFonts w:ascii="Calibri" w:hAnsi="Calibri"/>
                <w:sz w:val="22"/>
              </w:rPr>
              <w:t>In line</w:t>
            </w:r>
          </w:p>
        </w:tc>
      </w:tr>
      <w:tr>
        <w:tc>
          <w:tcPr>
            <w:tcW w:type="dxa" w:w="1234"/>
          </w:tcPr>
          <w:p>
            <w:r>
              <w:rPr>
                <w:rFonts w:ascii="Calibri" w:hAnsi="Calibri"/>
                <w:sz w:val="22"/>
              </w:rPr>
              <w:t>Adjusted EPS ($)</w:t>
            </w:r>
          </w:p>
        </w:tc>
        <w:tc>
          <w:tcPr>
            <w:tcW w:type="dxa" w:w="1234"/>
          </w:tcPr>
          <w:p>
            <w:r>
              <w:rPr>
                <w:rFonts w:ascii="Calibri" w:hAnsi="Calibri"/>
                <w:sz w:val="22"/>
              </w:rPr>
              <w:t>$3.29</w:t>
            </w:r>
          </w:p>
        </w:tc>
        <w:tc>
          <w:tcPr>
            <w:tcW w:type="dxa" w:w="1234"/>
          </w:tcPr>
          <w:p>
            <w:r>
              <w:rPr>
                <w:rFonts w:ascii="Calibri" w:hAnsi="Calibri"/>
                <w:sz w:val="22"/>
              </w:rPr>
              <w:t>$2.72</w:t>
            </w:r>
          </w:p>
        </w:tc>
        <w:tc>
          <w:tcPr>
            <w:tcW w:type="dxa" w:w="1234"/>
          </w:tcPr>
          <w:p>
            <w:r>
              <w:rPr>
                <w:rFonts w:ascii="Calibri" w:hAnsi="Calibri"/>
                <w:sz w:val="22"/>
              </w:rPr>
              <w:t>$2.89</w:t>
            </w:r>
          </w:p>
        </w:tc>
        <w:tc>
          <w:tcPr>
            <w:tcW w:type="dxa" w:w="1234"/>
          </w:tcPr>
          <w:p>
            <w:r>
              <w:rPr>
                <w:rFonts w:ascii="Calibri" w:hAnsi="Calibri"/>
                <w:sz w:val="22"/>
              </w:rPr>
              <w:t>+6.3%</w:t>
            </w:r>
          </w:p>
        </w:tc>
        <w:tc>
          <w:tcPr>
            <w:tcW w:type="dxa" w:w="1234"/>
          </w:tcPr>
          <w:p>
            <w:r>
              <w:rPr>
                <w:rFonts w:ascii="Calibri" w:hAnsi="Calibri"/>
                <w:sz w:val="22"/>
              </w:rPr>
              <w:t>Solid growth; H2 weighted</w:t>
            </w:r>
          </w:p>
        </w:tc>
        <w:tc>
          <w:tcPr>
            <w:tcW w:type="dxa" w:w="1234"/>
          </w:tcPr>
          <w:p>
            <w:r>
              <w:rPr>
                <w:rFonts w:ascii="Calibri" w:hAnsi="Calibri"/>
                <w:sz w:val="22"/>
              </w:rPr>
              <w:t>In line</w:t>
            </w:r>
          </w:p>
        </w:tc>
      </w:tr>
      <w:tr>
        <w:tc>
          <w:tcPr>
            <w:tcW w:type="dxa" w:w="1234"/>
          </w:tcPr>
          <w:p>
            <w:r>
              <w:rPr>
                <w:rFonts w:ascii="Calibri" w:hAnsi="Calibri"/>
                <w:sz w:val="22"/>
              </w:rPr>
              <w:t>Adj. Operating Margin (%)</w:t>
            </w:r>
          </w:p>
        </w:tc>
        <w:tc>
          <w:tcPr>
            <w:tcW w:type="dxa" w:w="1234"/>
          </w:tcPr>
          <w:p>
            <w:r>
              <w:rPr>
                <w:rFonts w:ascii="Calibri" w:hAnsi="Calibri"/>
                <w:sz w:val="22"/>
              </w:rPr>
              <w:t>31.8%</w:t>
            </w:r>
          </w:p>
        </w:tc>
        <w:tc>
          <w:tcPr>
            <w:tcW w:type="dxa" w:w="1234"/>
          </w:tcPr>
          <w:p>
            <w:r>
              <w:rPr>
                <w:rFonts w:ascii="Calibri" w:hAnsi="Calibri"/>
                <w:sz w:val="22"/>
              </w:rPr>
              <w:t>29.5%</w:t>
            </w:r>
          </w:p>
        </w:tc>
        <w:tc>
          <w:tcPr>
            <w:tcW w:type="dxa" w:w="1234"/>
          </w:tcPr>
          <w:p>
            <w:r>
              <w:rPr>
                <w:rFonts w:ascii="Calibri" w:hAnsi="Calibri"/>
                <w:sz w:val="22"/>
              </w:rPr>
              <w:t>29.2%</w:t>
            </w:r>
          </w:p>
        </w:tc>
        <w:tc>
          <w:tcPr>
            <w:tcW w:type="dxa" w:w="1234"/>
          </w:tcPr>
          <w:p>
            <w:r>
              <w:rPr>
                <w:rFonts w:ascii="Calibri" w:hAnsi="Calibri"/>
                <w:sz w:val="22"/>
              </w:rPr>
              <w:t>-0.3 pts YoY</w:t>
            </w:r>
          </w:p>
        </w:tc>
        <w:tc>
          <w:tcPr>
            <w:tcW w:type="dxa" w:w="1234"/>
          </w:tcPr>
          <w:p>
            <w:r>
              <w:rPr>
                <w:rFonts w:ascii="Calibri" w:hAnsi="Calibri"/>
                <w:sz w:val="22"/>
              </w:rPr>
              <w:t>More expansion in H2 vs. H1</w:t>
            </w:r>
          </w:p>
        </w:tc>
        <w:tc>
          <w:tcPr>
            <w:tcW w:type="dxa" w:w="1234"/>
          </w:tcPr>
          <w:p>
            <w:r>
              <w:rPr>
                <w:rFonts w:ascii="Calibri" w:hAnsi="Calibri"/>
                <w:sz w:val="22"/>
              </w:rPr>
              <w:t>Slight miss risk</w:t>
            </w:r>
          </w:p>
        </w:tc>
      </w:tr>
      <w:tr>
        <w:tc>
          <w:tcPr>
            <w:tcW w:type="dxa" w:w="1234"/>
          </w:tcPr>
          <w:p>
            <w:r>
              <w:rPr>
                <w:rFonts w:ascii="Calibri" w:hAnsi="Calibri"/>
                <w:sz w:val="22"/>
              </w:rPr>
              <w:t>Organic Revenue Growth (%)</w:t>
            </w:r>
          </w:p>
        </w:tc>
        <w:tc>
          <w:tcPr>
            <w:tcW w:type="dxa" w:w="1234"/>
          </w:tcPr>
          <w:p>
            <w:r>
              <w:rPr>
                <w:rFonts w:ascii="Calibri" w:hAnsi="Calibri"/>
                <w:sz w:val="22"/>
              </w:rPr>
              <w:t>4.0%</w:t>
            </w:r>
          </w:p>
        </w:tc>
        <w:tc>
          <w:tcPr>
            <w:tcW w:type="dxa" w:w="1234"/>
          </w:tcPr>
          <w:p>
            <w:r>
              <w:rPr>
                <w:rFonts w:ascii="Calibri" w:hAnsi="Calibri"/>
                <w:sz w:val="22"/>
              </w:rPr>
              <w:t>4.0%</w:t>
            </w:r>
          </w:p>
        </w:tc>
        <w:tc>
          <w:tcPr>
            <w:tcW w:type="dxa" w:w="1234"/>
          </w:tcPr>
          <w:p>
            <w:r>
              <w:rPr>
                <w:rFonts w:ascii="Calibri" w:hAnsi="Calibri"/>
                <w:sz w:val="22"/>
              </w:rPr>
              <w:t>~3.6%</w:t>
            </w:r>
          </w:p>
        </w:tc>
        <w:tc>
          <w:tcPr>
            <w:tcW w:type="dxa" w:w="1234"/>
          </w:tcPr>
          <w:p>
            <w:r>
              <w:rPr>
                <w:rFonts w:ascii="Calibri" w:hAnsi="Calibri"/>
                <w:sz w:val="22"/>
              </w:rPr>
              <w:t>-0.4 pts YoY</w:t>
            </w:r>
          </w:p>
        </w:tc>
        <w:tc>
          <w:tcPr>
            <w:tcW w:type="dxa" w:w="1234"/>
          </w:tcPr>
          <w:p>
            <w:r>
              <w:rPr>
                <w:rFonts w:ascii="Calibri" w:hAnsi="Calibri"/>
                <w:sz w:val="22"/>
              </w:rPr>
              <w:t>Similar to 2025 (~4%)</w:t>
            </w:r>
          </w:p>
        </w:tc>
        <w:tc>
          <w:tcPr>
            <w:tcW w:type="dxa" w:w="1234"/>
          </w:tcPr>
          <w:p>
            <w:r>
              <w:rPr>
                <w:rFonts w:ascii="Calibri" w:hAnsi="Calibri"/>
                <w:sz w:val="22"/>
              </w:rPr>
              <w:t>Slight cushion</w:t>
            </w:r>
          </w:p>
        </w:tc>
      </w:tr>
      <w:tr>
        <w:tc>
          <w:tcPr>
            <w:tcW w:type="dxa" w:w="1234"/>
          </w:tcPr>
          <w:p>
            <w:r>
              <w:rPr>
                <w:rFonts w:ascii="Calibri" w:hAnsi="Calibri"/>
                <w:sz w:val="22"/>
              </w:rPr>
              <w:t>Revenue — Risk &amp; Insurance ($B)</w:t>
            </w:r>
          </w:p>
        </w:tc>
        <w:tc>
          <w:tcPr>
            <w:tcW w:type="dxa" w:w="1234"/>
          </w:tcPr>
          <w:p>
            <w:r>
              <w:rPr>
                <w:rFonts w:ascii="Calibri" w:hAnsi="Calibri"/>
                <w:sz w:val="22"/>
              </w:rPr>
              <w:t>$5.051B</w:t>
            </w:r>
          </w:p>
        </w:tc>
        <w:tc>
          <w:tcPr>
            <w:tcW w:type="dxa" w:w="1234"/>
          </w:tcPr>
          <w:p>
            <w:r>
              <w:rPr>
                <w:rFonts w:ascii="Calibri" w:hAnsi="Calibri"/>
                <w:sz w:val="22"/>
              </w:rPr>
              <w:t>$4.625B</w:t>
            </w:r>
          </w:p>
        </w:tc>
        <w:tc>
          <w:tcPr>
            <w:tcW w:type="dxa" w:w="1234"/>
          </w:tcPr>
          <w:p>
            <w:r>
              <w:rPr>
                <w:rFonts w:ascii="Calibri" w:hAnsi="Calibri"/>
                <w:sz w:val="22"/>
              </w:rPr>
              <w:t>$4.806B</w:t>
            </w:r>
          </w:p>
        </w:tc>
        <w:tc>
          <w:tcPr>
            <w:tcW w:type="dxa" w:w="1234"/>
          </w:tcPr>
          <w:p>
            <w:r>
              <w:rPr>
                <w:rFonts w:ascii="Calibri" w:hAnsi="Calibri"/>
                <w:sz w:val="22"/>
              </w:rPr>
              <w:t>+3.9%</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Revenue — Marsh ($B)</w:t>
            </w:r>
          </w:p>
        </w:tc>
        <w:tc>
          <w:tcPr>
            <w:tcW w:type="dxa" w:w="1234"/>
          </w:tcPr>
          <w:p>
            <w:r>
              <w:rPr>
                <w:rFonts w:ascii="Calibri" w:hAnsi="Calibri"/>
                <w:sz w:val="22"/>
              </w:rPr>
              <w:t>$3.726B</w:t>
            </w:r>
          </w:p>
        </w:tc>
        <w:tc>
          <w:tcPr>
            <w:tcW w:type="dxa" w:w="1234"/>
          </w:tcPr>
          <w:p>
            <w:r>
              <w:rPr>
                <w:rFonts w:ascii="Calibri" w:hAnsi="Calibri"/>
                <w:sz w:val="22"/>
              </w:rPr>
              <w:t>$3.849B</w:t>
            </w:r>
          </w:p>
        </w:tc>
        <w:tc>
          <w:tcPr>
            <w:tcW w:type="dxa" w:w="1234"/>
          </w:tcPr>
          <w:p>
            <w:r>
              <w:rPr>
                <w:rFonts w:ascii="Calibri" w:hAnsi="Calibri"/>
                <w:sz w:val="22"/>
              </w:rPr>
              <w:t>$4.036B</w:t>
            </w:r>
          </w:p>
        </w:tc>
        <w:tc>
          <w:tcPr>
            <w:tcW w:type="dxa" w:w="1234"/>
          </w:tcPr>
          <w:p>
            <w:r>
              <w:rPr>
                <w:rFonts w:ascii="Calibri" w:hAnsi="Calibri"/>
                <w:sz w:val="22"/>
              </w:rPr>
              <w:t>+4.9%</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Revenue — Guy Carpenter ($B)</w:t>
            </w:r>
          </w:p>
        </w:tc>
        <w:tc>
          <w:tcPr>
            <w:tcW w:type="dxa" w:w="1234"/>
          </w:tcPr>
          <w:p>
            <w:r>
              <w:rPr>
                <w:rFonts w:ascii="Calibri" w:hAnsi="Calibri"/>
                <w:sz w:val="22"/>
              </w:rPr>
              <w:t>$1.240B</w:t>
            </w:r>
          </w:p>
        </w:tc>
        <w:tc>
          <w:tcPr>
            <w:tcW w:type="dxa" w:w="1234"/>
          </w:tcPr>
          <w:p>
            <w:r>
              <w:rPr>
                <w:rFonts w:ascii="Calibri" w:hAnsi="Calibri"/>
                <w:sz w:val="22"/>
              </w:rPr>
              <w:t>$0.677B</w:t>
            </w:r>
          </w:p>
        </w:tc>
        <w:tc>
          <w:tcPr>
            <w:tcW w:type="dxa" w:w="1234"/>
          </w:tcPr>
          <w:p>
            <w:r>
              <w:rPr>
                <w:rFonts w:ascii="Calibri" w:hAnsi="Calibri"/>
                <w:sz w:val="22"/>
              </w:rPr>
              <w:t>$0.690B</w:t>
            </w:r>
          </w:p>
        </w:tc>
        <w:tc>
          <w:tcPr>
            <w:tcW w:type="dxa" w:w="1234"/>
          </w:tcPr>
          <w:p>
            <w:r>
              <w:rPr>
                <w:rFonts w:ascii="Calibri" w:hAnsi="Calibri"/>
                <w:sz w:val="22"/>
              </w:rPr>
              <w:t>+1.9%</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Revenue — Consulting ($B)</w:t>
            </w:r>
          </w:p>
        </w:tc>
        <w:tc>
          <w:tcPr>
            <w:tcW w:type="dxa" w:w="1234"/>
          </w:tcPr>
          <w:p>
            <w:r>
              <w:rPr>
                <w:rFonts w:ascii="Calibri" w:hAnsi="Calibri"/>
                <w:sz w:val="22"/>
              </w:rPr>
              <w:t>$2.558B</w:t>
            </w:r>
          </w:p>
        </w:tc>
        <w:tc>
          <w:tcPr>
            <w:tcW w:type="dxa" w:w="1234"/>
          </w:tcPr>
          <w:p>
            <w:r>
              <w:rPr>
                <w:rFonts w:ascii="Calibri" w:hAnsi="Calibri"/>
                <w:sz w:val="22"/>
              </w:rPr>
              <w:t>$2.371B</w:t>
            </w:r>
          </w:p>
        </w:tc>
        <w:tc>
          <w:tcPr>
            <w:tcW w:type="dxa" w:w="1234"/>
          </w:tcPr>
          <w:p>
            <w:r>
              <w:rPr>
                <w:rFonts w:ascii="Calibri" w:hAnsi="Calibri"/>
                <w:sz w:val="22"/>
              </w:rPr>
              <w:t>$2.490B</w:t>
            </w:r>
          </w:p>
        </w:tc>
        <w:tc>
          <w:tcPr>
            <w:tcW w:type="dxa" w:w="1234"/>
          </w:tcPr>
          <w:p>
            <w:r>
              <w:rPr>
                <w:rFonts w:ascii="Calibri" w:hAnsi="Calibri"/>
                <w:sz w:val="22"/>
              </w:rPr>
              <w:t>+5.0%</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Revenue — Mercer ($B)</w:t>
            </w:r>
          </w:p>
        </w:tc>
        <w:tc>
          <w:tcPr>
            <w:tcW w:type="dxa" w:w="1234"/>
          </w:tcPr>
          <w:p>
            <w:r>
              <w:rPr>
                <w:rFonts w:ascii="Calibri" w:hAnsi="Calibri"/>
                <w:sz w:val="22"/>
              </w:rPr>
              <w:t>$1.661B</w:t>
            </w:r>
          </w:p>
        </w:tc>
        <w:tc>
          <w:tcPr>
            <w:tcW w:type="dxa" w:w="1234"/>
          </w:tcPr>
          <w:p>
            <w:r>
              <w:rPr>
                <w:rFonts w:ascii="Calibri" w:hAnsi="Calibri"/>
                <w:sz w:val="22"/>
              </w:rPr>
              <w:t>$1.498B</w:t>
            </w:r>
          </w:p>
        </w:tc>
        <w:tc>
          <w:tcPr>
            <w:tcW w:type="dxa" w:w="1234"/>
          </w:tcPr>
          <w:p>
            <w:r>
              <w:rPr>
                <w:rFonts w:ascii="Calibri" w:hAnsi="Calibri"/>
                <w:sz w:val="22"/>
              </w:rPr>
              <w:t>$1.572B</w:t>
            </w:r>
          </w:p>
        </w:tc>
        <w:tc>
          <w:tcPr>
            <w:tcW w:type="dxa" w:w="1234"/>
          </w:tcPr>
          <w:p>
            <w:r>
              <w:rPr>
                <w:rFonts w:ascii="Calibri" w:hAnsi="Calibri"/>
                <w:sz w:val="22"/>
              </w:rPr>
              <w:t>+4.9%</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Revenue — Oliver Wyman ($B)</w:t>
            </w:r>
          </w:p>
        </w:tc>
        <w:tc>
          <w:tcPr>
            <w:tcW w:type="dxa" w:w="1234"/>
          </w:tcPr>
          <w:p>
            <w:r>
              <w:rPr>
                <w:rFonts w:ascii="Calibri" w:hAnsi="Calibri"/>
                <w:sz w:val="22"/>
              </w:rPr>
              <w:t>$0.897B</w:t>
            </w:r>
          </w:p>
        </w:tc>
        <w:tc>
          <w:tcPr>
            <w:tcW w:type="dxa" w:w="1234"/>
          </w:tcPr>
          <w:p>
            <w:r>
              <w:rPr>
                <w:rFonts w:ascii="Calibri" w:hAnsi="Calibri"/>
                <w:sz w:val="22"/>
              </w:rPr>
              <w:t>$0.873B</w:t>
            </w:r>
          </w:p>
        </w:tc>
        <w:tc>
          <w:tcPr>
            <w:tcW w:type="dxa" w:w="1234"/>
          </w:tcPr>
          <w:p>
            <w:r>
              <w:rPr>
                <w:rFonts w:ascii="Calibri" w:hAnsi="Calibri"/>
                <w:sz w:val="22"/>
              </w:rPr>
              <w:t>$0.919B</w:t>
            </w:r>
          </w:p>
        </w:tc>
        <w:tc>
          <w:tcPr>
            <w:tcW w:type="dxa" w:w="1234"/>
          </w:tcPr>
          <w:p>
            <w:r>
              <w:rPr>
                <w:rFonts w:ascii="Calibri" w:hAnsi="Calibri"/>
                <w:sz w:val="22"/>
              </w:rPr>
              <w:t>+5.3%</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-$0.750B (seasonal)</w:t>
            </w:r>
          </w:p>
        </w:tc>
        <w:tc>
          <w:tcPr>
            <w:tcW w:type="dxa" w:w="1234"/>
          </w:tcPr>
          <w:p>
            <w:r>
              <w:rPr>
                <w:rFonts w:ascii="Calibri" w:hAnsi="Calibri"/>
                <w:sz w:val="22"/>
              </w:rPr>
              <w:t>$1.612B</w:t>
            </w:r>
          </w:p>
        </w:tc>
        <w:tc>
          <w:tcPr>
            <w:tcW w:type="dxa" w:w="1234"/>
          </w:tcPr>
          <w:p>
            <w:r>
              <w:rPr>
                <w:rFonts w:ascii="Calibri" w:hAnsi="Calibri"/>
                <w:sz w:val="22"/>
              </w:rPr>
              <w:t>$1.432B</w:t>
            </w:r>
          </w:p>
        </w:tc>
        <w:tc>
          <w:tcPr>
            <w:tcW w:type="dxa" w:w="1234"/>
          </w:tcPr>
          <w:p>
            <w:r>
              <w:rPr>
                <w:rFonts w:ascii="Calibri" w:hAnsi="Calibri"/>
                <w:sz w:val="22"/>
              </w:rPr>
              <w:t>-11.2%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Fiduciary Interest Income</w:t>
            </w:r>
          </w:p>
        </w:tc>
        <w:tc>
          <w:tcPr>
            <w:tcW w:type="dxa" w:w="1234"/>
          </w:tcPr>
          <w:p>
            <w:r>
              <w:rPr>
                <w:rFonts w:ascii="Calibri" w:hAnsi="Calibri"/>
                <w:sz w:val="22"/>
              </w:rPr>
              <w:t>~$83M (Q1 guidance)</w:t>
            </w:r>
          </w:p>
        </w:tc>
        <w:tc>
          <w:tcPr>
            <w:tcW w:type="dxa" w:w="1234"/>
          </w:tcPr>
          <w:p>
            <w:r>
              <w:rPr>
                <w:rFonts w:ascii="Calibri" w:hAnsi="Calibri"/>
                <w:sz w:val="22"/>
              </w:rPr>
              <w:t>N/A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~$80M (Q1 2026 guidance for Q2)</w:t>
            </w:r>
          </w:p>
        </w:tc>
        <w:tc>
          <w:tcPr>
            <w:tcW w:type="dxa" w:w="1234"/>
          </w:tcPr>
          <w:p>
            <w:r>
              <w:rPr>
                <w:rFonts w:ascii="Calibri" w:hAnsi="Calibri"/>
                <w:sz w:val="22"/>
              </w:rPr>
              <w:t>N/A</w:t>
            </w:r>
          </w:p>
        </w:tc>
      </w:tr>
    </w:tbl>
    <w:p>
      <w:r>
        <w:rPr>
          <w:rFonts w:ascii="Calibri" w:hAnsi="Calibri"/>
          <w:i/>
          <w:color w:val="525866"/>
          <w:sz w:val="22"/>
        </w:rPr>
        <w:t>Source: Visible Alpha Consensus and Actuals Data; MMC Q1 2026 Earnings Call Transcript (April 16,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$6.221B</w:t>
            </w:r>
          </w:p>
        </w:tc>
        <w:tc>
          <w:tcPr>
            <w:tcW w:type="dxa" w:w="1440"/>
          </w:tcPr>
          <w:p>
            <w:r>
              <w:rPr>
                <w:rFonts w:ascii="Calibri" w:hAnsi="Calibri"/>
                <w:sz w:val="22"/>
              </w:rPr>
              <w:t>$6.301B</w:t>
            </w:r>
          </w:p>
        </w:tc>
        <w:tc>
          <w:tcPr>
            <w:tcW w:type="dxa" w:w="1440"/>
          </w:tcPr>
          <w:p>
            <w:r>
              <w:rPr>
                <w:rFonts w:ascii="Calibri" w:hAnsi="Calibri"/>
                <w:b/>
                <w:color w:val="E5484D"/>
                <w:sz w:val="22"/>
              </w:rPr>
              <w:t>-1.3%</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$2.407</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 (no cons.)</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$5.697B</w:t>
            </w:r>
          </w:p>
        </w:tc>
        <w:tc>
          <w:tcPr>
            <w:tcW w:type="dxa" w:w="1440"/>
          </w:tcPr>
          <w:p>
            <w:r>
              <w:rPr>
                <w:rFonts w:ascii="Calibri" w:hAnsi="Calibri"/>
                <w:sz w:val="22"/>
              </w:rPr>
              <w:t>$5.698B</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$1.633</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 (no cons.)</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$6.067B</w:t>
            </w:r>
          </w:p>
        </w:tc>
        <w:tc>
          <w:tcPr>
            <w:tcW w:type="dxa" w:w="1440"/>
          </w:tcPr>
          <w:p>
            <w:r>
              <w:rPr>
                <w:rFonts w:ascii="Calibri" w:hAnsi="Calibri"/>
                <w:sz w:val="22"/>
              </w:rPr>
              <w:t>$5.933B</w:t>
            </w:r>
          </w:p>
        </w:tc>
        <w:tc>
          <w:tcPr>
            <w:tcW w:type="dxa" w:w="1440"/>
          </w:tcPr>
          <w:p>
            <w:r>
              <w:rPr>
                <w:rFonts w:ascii="Calibri" w:hAnsi="Calibri"/>
                <w:b/>
                <w:color w:val="30A46C"/>
                <w:sz w:val="22"/>
              </w:rPr>
              <w:t>+2.3%</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$1.869</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 (no cons.)</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$7.061B</w:t>
            </w:r>
          </w:p>
        </w:tc>
        <w:tc>
          <w:tcPr>
            <w:tcW w:type="dxa" w:w="1440"/>
          </w:tcPr>
          <w:p>
            <w:r>
              <w:rPr>
                <w:rFonts w:ascii="Calibri" w:hAnsi="Calibri"/>
                <w:sz w:val="22"/>
              </w:rPr>
              <w:t>$7.061B</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$3.063</w:t>
            </w:r>
          </w:p>
        </w:tc>
        <w:tc>
          <w:tcPr>
            <w:tcW w:type="dxa" w:w="1440"/>
          </w:tcPr>
          <w:p>
            <w:r>
              <w:rPr>
                <w:rFonts w:ascii="Calibri" w:hAnsi="Calibri"/>
                <w:sz w:val="22"/>
              </w:rPr>
              <w:t>$3.080</w:t>
            </w:r>
          </w:p>
        </w:tc>
        <w:tc>
          <w:tcPr>
            <w:tcW w:type="dxa" w:w="1440"/>
          </w:tcPr>
          <w:p>
            <w:r>
              <w:rPr>
                <w:rFonts w:ascii="Calibri" w:hAnsi="Calibri"/>
                <w:b/>
                <w:color w:val="E5484D"/>
                <w:sz w:val="22"/>
              </w:rPr>
              <w:t>-0.5%</w:t>
            </w:r>
          </w:p>
        </w:tc>
        <w:tc>
          <w:tcPr>
            <w:tcW w:type="dxa" w:w="1440"/>
          </w:tcPr>
          <w:p>
            <w:r>
              <w:rPr>
                <w:rFonts w:ascii="Calibri" w:hAnsi="Calibri"/>
                <w:sz w:val="22"/>
              </w:rPr>
              <w:t>Slight Miss</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$6.974B</w:t>
            </w:r>
          </w:p>
        </w:tc>
        <w:tc>
          <w:tcPr>
            <w:tcW w:type="dxa" w:w="1440"/>
          </w:tcPr>
          <w:p>
            <w:r>
              <w:rPr>
                <w:rFonts w:ascii="Calibri" w:hAnsi="Calibri"/>
                <w:sz w:val="22"/>
              </w:rPr>
              <w:t>$6.924B</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$2.719</w:t>
            </w:r>
          </w:p>
        </w:tc>
        <w:tc>
          <w:tcPr>
            <w:tcW w:type="dxa" w:w="1440"/>
          </w:tcPr>
          <w:p>
            <w:r>
              <w:rPr>
                <w:rFonts w:ascii="Calibri" w:hAnsi="Calibri"/>
                <w:sz w:val="22"/>
              </w:rPr>
              <w:t>$2.663</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$6.351B</w:t>
            </w:r>
          </w:p>
        </w:tc>
        <w:tc>
          <w:tcPr>
            <w:tcW w:type="dxa" w:w="1440"/>
          </w:tcPr>
          <w:p>
            <w:r>
              <w:rPr>
                <w:rFonts w:ascii="Calibri" w:hAnsi="Calibri"/>
                <w:sz w:val="22"/>
              </w:rPr>
              <w:t>$6.322B</w:t>
            </w:r>
          </w:p>
        </w:tc>
        <w:tc>
          <w:tcPr>
            <w:tcW w:type="dxa" w:w="1440"/>
          </w:tcPr>
          <w:p>
            <w:r>
              <w:rPr>
                <w:rFonts w:ascii="Calibri" w:hAnsi="Calibri"/>
                <w:b/>
                <w:color w:val="30A46C"/>
                <w:sz w:val="22"/>
              </w:rPr>
              <w:t>+0.5%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$1.850</w:t>
            </w:r>
          </w:p>
        </w:tc>
        <w:tc>
          <w:tcPr>
            <w:tcW w:type="dxa" w:w="1440"/>
          </w:tcPr>
          <w:p>
            <w:r>
              <w:rPr>
                <w:rFonts w:ascii="Calibri" w:hAnsi="Calibri"/>
                <w:sz w:val="22"/>
              </w:rPr>
              <w:t>$1.782</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$6.595B</w:t>
            </w:r>
          </w:p>
        </w:tc>
        <w:tc>
          <w:tcPr>
            <w:tcW w:type="dxa" w:w="1440"/>
          </w:tcPr>
          <w:p>
            <w:r>
              <w:rPr>
                <w:rFonts w:ascii="Calibri" w:hAnsi="Calibri"/>
                <w:sz w:val="22"/>
              </w:rPr>
              <w:t>$6.553B</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$2.120</w:t>
            </w:r>
          </w:p>
        </w:tc>
        <w:tc>
          <w:tcPr>
            <w:tcW w:type="dxa" w:w="1440"/>
          </w:tcPr>
          <w:p>
            <w:r>
              <w:rPr>
                <w:rFonts w:ascii="Calibri" w:hAnsi="Calibri"/>
                <w:sz w:val="22"/>
              </w:rPr>
              <w:t>$1.981</w:t>
            </w:r>
          </w:p>
        </w:tc>
        <w:tc>
          <w:tcPr>
            <w:tcW w:type="dxa" w:w="1440"/>
          </w:tcPr>
          <w:p>
            <w:r>
              <w:rPr>
                <w:rFonts w:ascii="Calibri" w:hAnsi="Calibri"/>
                <w:b/>
                <w:color w:val="30A46C"/>
                <w:sz w:val="22"/>
              </w:rPr>
              <w:t>+7.0%</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$7.597B</w:t>
            </w:r>
          </w:p>
        </w:tc>
        <w:tc>
          <w:tcPr>
            <w:tcW w:type="dxa" w:w="1440"/>
          </w:tcPr>
          <w:p>
            <w:r>
              <w:rPr>
                <w:rFonts w:ascii="Calibri" w:hAnsi="Calibri"/>
                <w:sz w:val="22"/>
              </w:rPr>
              <w:t>$7.384B</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$3.290</w:t>
            </w:r>
          </w:p>
        </w:tc>
        <w:tc>
          <w:tcPr>
            <w:tcW w:type="dxa" w:w="1440"/>
          </w:tcPr>
          <w:p>
            <w:r>
              <w:rPr>
                <w:rFonts w:ascii="Calibri" w:hAnsi="Calibri"/>
                <w:sz w:val="22"/>
              </w:rPr>
              <w:t>$3.220</w:t>
            </w:r>
          </w:p>
        </w:tc>
        <w:tc>
          <w:tcPr>
            <w:tcW w:type="dxa" w:w="1440"/>
          </w:tcPr>
          <w:p>
            <w:r>
              <w:rPr>
                <w:rFonts w:ascii="Calibri" w:hAnsi="Calibri"/>
                <w:b/>
                <w:color w:val="30A46C"/>
                <w:sz w:val="22"/>
              </w:rPr>
              <w:t>+2.2%</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MRSH has beaten or matched revenue consensus in 5 of the last 6 quarters with a clear beat streak on Adj. EPS in the last four quarters (Q2 2025 through Q1 2026), with the most recent Q1 2026 beat of +2.2% on EPS and +2.9% on revenue. The Q2 2024 revenue miss was an outlier; the trend since then has been consistent, modest beats.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guidance has been remarkably stable — full-year 2026 underlying revenue growth "similar to last year" (~4%) was reiterated at Q1 2026 with no change from Q4 2025. The one new detail from Q1 was that </w:t>
      </w:r>
      <w:r>
        <w:rPr>
          <w:rFonts w:ascii="Calibri" w:hAnsi="Calibri"/>
          <w:b/>
          <w:color w:val="525866"/>
          <w:sz w:val="22"/>
        </w:rPr>
        <w:t>margin expansion will be more H2-weighted</w:t>
      </w:r>
      <w:r>
        <w:rPr>
          <w:rFonts w:ascii="Calibri" w:hAnsi="Calibri"/>
          <w:color w:val="525866"/>
          <w:sz w:val="22"/>
        </w:rPr>
        <w:t>, which explicitly sets a lower bar for Q2 margins and is a constructive signal for the back half.</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Q4 2025 Earnings (Baseline)</w:t>
            </w:r>
          </w:p>
        </w:tc>
        <w:tc>
          <w:tcPr>
            <w:tcW w:type="dxa" w:w="2160"/>
            <w:shd w:val="clear" w:color="auto" w:fill="3B4259"/>
          </w:tcPr>
          <w:p>
            <w:r>
              <w:rPr>
                <w:rFonts w:ascii="Calibri" w:hAnsi="Calibri"/>
                <w:b/>
                <w:color w:val="FFFFFF"/>
                <w:sz w:val="22"/>
              </w:rPr>
              <w:t>Q1 2026 Earnings (Latest)</w:t>
            </w:r>
          </w:p>
        </w:tc>
        <w:tc>
          <w:tcPr>
            <w:tcW w:type="dxa" w:w="2160"/>
            <w:shd w:val="clear" w:color="auto" w:fill="3B4259"/>
          </w:tcPr>
          <w:p>
            <w:r>
              <w:rPr>
                <w:rFonts w:ascii="Calibri" w:hAnsi="Calibri"/>
                <w:b/>
                <w:color w:val="FFFFFF"/>
                <w:sz w:val="22"/>
              </w:rPr>
              <w:t>Change / Delta</w:t>
            </w:r>
          </w:p>
        </w:tc>
      </w:tr>
      <w:tr>
        <w:tc>
          <w:tcPr>
            <w:tcW w:type="dxa" w:w="2160"/>
          </w:tcPr>
          <w:p>
            <w:r>
              <w:rPr>
                <w:rFonts w:ascii="Calibri" w:hAnsi="Calibri"/>
                <w:sz w:val="22"/>
              </w:rPr>
              <w:t>FY2026 Underlying Revenue Growth</w:t>
            </w:r>
          </w:p>
        </w:tc>
        <w:tc>
          <w:tcPr>
            <w:tcW w:type="dxa" w:w="2160"/>
          </w:tcPr>
          <w:p>
            <w:r>
              <w:rPr>
                <w:rFonts w:ascii="Calibri" w:hAnsi="Calibri"/>
                <w:sz w:val="22"/>
              </w:rPr>
              <w:t>"Similar to the level we generated in 2025" (~4%)</w:t>
            </w:r>
          </w:p>
        </w:tc>
        <w:tc>
          <w:tcPr>
            <w:tcW w:type="dxa" w:w="2160"/>
          </w:tcPr>
          <w:p>
            <w:r>
              <w:rPr>
                <w:rFonts w:ascii="Calibri" w:hAnsi="Calibri"/>
                <w:sz w:val="22"/>
              </w:rPr>
              <w:t>"Similar to last year" (~4%)</w:t>
            </w:r>
          </w:p>
        </w:tc>
        <w:tc>
          <w:tcPr>
            <w:tcW w:type="dxa" w:w="2160"/>
          </w:tcPr>
          <w:p>
            <w:r>
              <w:rPr>
                <w:rFonts w:ascii="Calibri" w:hAnsi="Calibri"/>
                <w:sz w:val="22"/>
              </w:rPr>
              <w:t>No change — reiterated</w:t>
            </w:r>
          </w:p>
        </w:tc>
      </w:tr>
      <w:tr>
        <w:tc>
          <w:tcPr>
            <w:tcW w:type="dxa" w:w="2160"/>
          </w:tcPr>
          <w:p>
            <w:r>
              <w:rPr>
                <w:rFonts w:ascii="Calibri" w:hAnsi="Calibri"/>
                <w:sz w:val="22"/>
              </w:rPr>
              <w:t>Margin Expansion</w:t>
            </w:r>
          </w:p>
        </w:tc>
        <w:tc>
          <w:tcPr>
            <w:tcW w:type="dxa" w:w="2160"/>
          </w:tcPr>
          <w:p>
            <w:r>
              <w:rPr>
                <w:rFonts w:ascii="Calibri" w:hAnsi="Calibri"/>
                <w:sz w:val="22"/>
              </w:rPr>
              <w:t>"Continued margin expansion" expected</w:t>
            </w:r>
          </w:p>
        </w:tc>
        <w:tc>
          <w:tcPr>
            <w:tcW w:type="dxa" w:w="2160"/>
          </w:tcPr>
          <w:p>
            <w:r>
              <w:rPr>
                <w:rFonts w:ascii="Calibri" w:hAnsi="Calibri"/>
                <w:sz w:val="22"/>
              </w:rPr>
              <w:t>"More margin expansion in H2 than H1"</w:t>
            </w:r>
          </w:p>
        </w:tc>
        <w:tc>
          <w:tcPr>
            <w:tcW w:type="dxa" w:w="2160"/>
          </w:tcPr>
          <w:p>
            <w:r>
              <w:rPr>
                <w:rFonts w:ascii="Calibri" w:hAnsi="Calibri"/>
                <w:sz w:val="22"/>
              </w:rPr>
              <w:t>New detail: H2-weighted; lowers Q2 bar</w:t>
            </w:r>
          </w:p>
        </w:tc>
      </w:tr>
      <w:tr>
        <w:tc>
          <w:tcPr>
            <w:tcW w:type="dxa" w:w="2160"/>
          </w:tcPr>
          <w:p>
            <w:r>
              <w:rPr>
                <w:rFonts w:ascii="Calibri" w:hAnsi="Calibri"/>
                <w:sz w:val="22"/>
              </w:rPr>
              <w:t>Adj. EPS Growth</w:t>
            </w:r>
          </w:p>
        </w:tc>
        <w:tc>
          <w:tcPr>
            <w:tcW w:type="dxa" w:w="2160"/>
          </w:tcPr>
          <w:p>
            <w:r>
              <w:rPr>
                <w:rFonts w:ascii="Calibri" w:hAnsi="Calibri"/>
                <w:sz w:val="22"/>
              </w:rPr>
              <w:t>"Solid adjusted EPS growth"</w:t>
            </w:r>
          </w:p>
        </w:tc>
        <w:tc>
          <w:tcPr>
            <w:tcW w:type="dxa" w:w="2160"/>
          </w:tcPr>
          <w:p>
            <w:r>
              <w:rPr>
                <w:rFonts w:ascii="Calibri" w:hAnsi="Calibri"/>
                <w:sz w:val="22"/>
              </w:rPr>
              <w:t>"Solid adjusted EPS growth" (reiterated)</w:t>
            </w:r>
          </w:p>
        </w:tc>
        <w:tc>
          <w:tcPr>
            <w:tcW w:type="dxa" w:w="2160"/>
          </w:tcPr>
          <w:p>
            <w:r>
              <w:rPr>
                <w:rFonts w:ascii="Calibri" w:hAnsi="Calibri"/>
                <w:sz w:val="22"/>
              </w:rPr>
              <w:t>No change</w:t>
            </w:r>
          </w:p>
        </w:tc>
      </w:tr>
      <w:tr>
        <w:tc>
          <w:tcPr>
            <w:tcW w:type="dxa" w:w="2160"/>
          </w:tcPr>
          <w:p>
            <w:r>
              <w:rPr>
                <w:rFonts w:ascii="Calibri" w:hAnsi="Calibri"/>
                <w:sz w:val="22"/>
              </w:rPr>
              <w:t>Q2 2026 Fiduciary Interest Income</w:t>
            </w:r>
          </w:p>
        </w:tc>
        <w:tc>
          <w:tcPr>
            <w:tcW w:type="dxa" w:w="2160"/>
          </w:tcPr>
          <w:p>
            <w:r>
              <w:rPr>
                <w:rFonts w:ascii="Calibri" w:hAnsi="Calibri"/>
                <w:sz w:val="22"/>
              </w:rPr>
              <w:t>~$83M (Q1 2026 guidance given at Q4 2025)</w:t>
            </w:r>
          </w:p>
        </w:tc>
        <w:tc>
          <w:tcPr>
            <w:tcW w:type="dxa" w:w="2160"/>
          </w:tcPr>
          <w:p>
            <w:r>
              <w:rPr>
                <w:rFonts w:ascii="Calibri" w:hAnsi="Calibri"/>
                <w:sz w:val="22"/>
              </w:rPr>
              <w:t>~$80M (updated Q2 2026 guidance at Q1 2026)</w:t>
            </w:r>
          </w:p>
        </w:tc>
        <w:tc>
          <w:tcPr>
            <w:tcW w:type="dxa" w:w="2160"/>
          </w:tcPr>
          <w:p>
            <w:r>
              <w:rPr>
                <w:rFonts w:ascii="Calibri" w:hAnsi="Calibri"/>
                <w:sz w:val="22"/>
              </w:rPr>
              <w:t>Slight step-down of ~$3M vs. prior guide</w:t>
            </w:r>
          </w:p>
        </w:tc>
      </w:tr>
      <w:tr>
        <w:tc>
          <w:tcPr>
            <w:tcW w:type="dxa" w:w="2160"/>
          </w:tcPr>
          <w:p>
            <w:r>
              <w:rPr>
                <w:rFonts w:ascii="Calibri" w:hAnsi="Calibri"/>
                <w:sz w:val="22"/>
              </w:rPr>
              <w:t>RIS Segment Tone</w:t>
            </w:r>
          </w:p>
        </w:tc>
        <w:tc>
          <w:tcPr>
            <w:tcW w:type="dxa" w:w="2160"/>
          </w:tcPr>
          <w:p>
            <w:r>
              <w:rPr>
                <w:rFonts w:ascii="Calibri" w:hAnsi="Calibri"/>
                <w:sz w:val="22"/>
              </w:rPr>
              <w:t>Softer reinsurance market; Marsh Risk resilient</w:t>
            </w:r>
          </w:p>
        </w:tc>
        <w:tc>
          <w:tcPr>
            <w:tcW w:type="dxa" w:w="2160"/>
          </w:tcPr>
          <w:p>
            <w:r>
              <w:rPr>
                <w:rFonts w:ascii="Calibri" w:hAnsi="Calibri"/>
                <w:sz w:val="22"/>
              </w:rPr>
              <w:t>Marsh Risk grew 4% despite "more challenging market conditions"</w:t>
            </w:r>
          </w:p>
        </w:tc>
        <w:tc>
          <w:tcPr>
            <w:tcW w:type="dxa" w:w="2160"/>
          </w:tcPr>
          <w:p>
            <w:r>
              <w:rPr>
                <w:rFonts w:ascii="Calibri" w:hAnsi="Calibri"/>
                <w:sz w:val="22"/>
              </w:rPr>
              <w:t>Cautiously constructive; property softening noted</w:t>
            </w:r>
          </w:p>
        </w:tc>
      </w:tr>
      <w:tr>
        <w:tc>
          <w:tcPr>
            <w:tcW w:type="dxa" w:w="2160"/>
          </w:tcPr>
          <w:p>
            <w:r>
              <w:rPr>
                <w:rFonts w:ascii="Calibri" w:hAnsi="Calibri"/>
                <w:sz w:val="22"/>
              </w:rPr>
              <w:t>Consulting Segment Tone</w:t>
            </w:r>
          </w:p>
        </w:tc>
        <w:tc>
          <w:tcPr>
            <w:tcW w:type="dxa" w:w="2160"/>
          </w:tcPr>
          <w:p>
            <w:r>
              <w:rPr>
                <w:rFonts w:ascii="Calibri" w:hAnsi="Calibri"/>
                <w:sz w:val="22"/>
              </w:rPr>
              <w:t>5% underlying growth; Oliver Wyman strong at 8%</w:t>
            </w:r>
          </w:p>
        </w:tc>
        <w:tc>
          <w:tcPr>
            <w:tcW w:type="dxa" w:w="2160"/>
          </w:tcPr>
          <w:p>
            <w:r>
              <w:rPr>
                <w:rFonts w:ascii="Calibri" w:hAnsi="Calibri"/>
                <w:sz w:val="22"/>
              </w:rPr>
              <w:t>5% underlying; Oliver Wyman moderated to 6%</w:t>
            </w:r>
          </w:p>
        </w:tc>
        <w:tc>
          <w:tcPr>
            <w:tcW w:type="dxa" w:w="2160"/>
          </w:tcPr>
          <w:p>
            <w:r>
              <w:rPr>
                <w:rFonts w:ascii="Calibri" w:hAnsi="Calibri"/>
                <w:sz w:val="22"/>
              </w:rPr>
              <w:t>Slight deceleration in OW; Mercer improved to 5%</w:t>
            </w:r>
          </w:p>
        </w:tc>
      </w:tr>
      <w:tr>
        <w:tc>
          <w:tcPr>
            <w:tcW w:type="dxa" w:w="2160"/>
          </w:tcPr>
          <w:p>
            <w:r>
              <w:rPr>
                <w:rFonts w:ascii="Calibri" w:hAnsi="Calibri"/>
                <w:sz w:val="22"/>
              </w:rPr>
              <w:t>Guy Carpenter</w:t>
            </w:r>
          </w:p>
        </w:tc>
        <w:tc>
          <w:tcPr>
            <w:tcW w:type="dxa" w:w="2160"/>
          </w:tcPr>
          <w:p>
            <w:r>
              <w:rPr>
                <w:rFonts w:ascii="Calibri" w:hAnsi="Calibri"/>
                <w:sz w:val="22"/>
              </w:rPr>
              <w:t>5% underlying growth in Q4 2025</w:t>
            </w:r>
          </w:p>
        </w:tc>
        <w:tc>
          <w:tcPr>
            <w:tcW w:type="dxa" w:w="2160"/>
          </w:tcPr>
          <w:p>
            <w:r>
              <w:rPr>
                <w:rFonts w:ascii="Calibri" w:hAnsi="Calibri"/>
                <w:sz w:val="22"/>
              </w:rPr>
              <w:t>2% underlying growth in Q1 2026 — "softer reinsurance market conditions"</w:t>
            </w:r>
          </w:p>
        </w:tc>
        <w:tc>
          <w:tcPr>
            <w:tcW w:type="dxa" w:w="2160"/>
          </w:tcPr>
          <w:p>
            <w:r>
              <w:rPr>
                <w:rFonts w:ascii="Calibri" w:hAnsi="Calibri"/>
                <w:sz w:val="22"/>
              </w:rPr>
              <w:t>Meaningful deceleration; tough comp in Q2 2025 (N/A)</w:t>
            </w:r>
          </w:p>
        </w:tc>
      </w:tr>
    </w:tbl>
    <w:p>
      <w:r>
        <w:rPr>
          <w:rFonts w:ascii="Calibri" w:hAnsi="Calibri"/>
          <w:i/>
          <w:color w:val="525866"/>
          <w:sz w:val="22"/>
        </w:rPr>
        <w:t>Source: MMC Q4 2025 Earnings Call Transcript (January 29, 2026); MMC Q1 2026 Earnings Call Transcript (April 16,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 revisions have moved </w:t>
      </w:r>
      <w:r>
        <w:rPr>
          <w:rFonts w:ascii="Calibri" w:hAnsi="Calibri"/>
          <w:b/>
          <w:color w:val="525866"/>
          <w:sz w:val="22"/>
        </w:rPr>
        <w:t>modestly lower</w:t>
      </w:r>
      <w:r>
        <w:rPr>
          <w:rFonts w:ascii="Calibri" w:hAnsi="Calibri"/>
          <w:color w:val="525866"/>
          <w:sz w:val="22"/>
        </w:rPr>
        <w:t xml:space="preserve"> since Q1 2026 earnings — EPS estimates for Q2 2026 have seen three downward revisions and zero upward revisions over the past 60 days, while revenue estimates have also dicked slightly lower. This divergence from stable guidance suggests the Street is pricing in some execution risk, not a guidance change, which creates a modest cushion if MRSH delivers in line with its own framework.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Q2 2026 Consensus (Current)</w:t>
            </w:r>
          </w:p>
        </w:tc>
        <w:tc>
          <w:tcPr>
            <w:tcW w:type="dxa" w:w="1728"/>
            <w:shd w:val="clear" w:color="auto" w:fill="3B4259"/>
          </w:tcPr>
          <w:p>
            <w:r>
              <w:rPr>
                <w:rFonts w:ascii="Calibri" w:hAnsi="Calibri"/>
                <w:b/>
                <w:color w:val="FFFFFF"/>
                <w:sz w:val="22"/>
              </w:rPr>
              <w:t>FY2026 Consensus (Current)</w:t>
            </w:r>
          </w:p>
        </w:tc>
        <w:tc>
          <w:tcPr>
            <w:tcW w:type="dxa" w:w="1728"/>
            <w:shd w:val="clear" w:color="auto" w:fill="3B4259"/>
          </w:tcPr>
          <w:p>
            <w:r>
              <w:rPr>
                <w:rFonts w:ascii="Calibri" w:hAnsi="Calibri"/>
                <w:b/>
                <w:color w:val="FFFFFF"/>
                <w:sz w:val="22"/>
              </w:rPr>
              <w:t>FY2027 Consensus (Current)</w:t>
            </w:r>
          </w:p>
        </w:tc>
        <w:tc>
          <w:tcPr>
            <w:tcW w:type="dxa" w:w="1728"/>
            <w:shd w:val="clear" w:color="auto" w:fill="3B4259"/>
          </w:tcPr>
          <w:p>
            <w:r>
              <w:rPr>
                <w:rFonts w:ascii="Calibri" w:hAnsi="Calibri"/>
                <w:b/>
                <w:color w:val="FFFFFF"/>
                <w:sz w:val="22"/>
              </w:rPr>
              <w:t>Revision Trend (60 days)</w:t>
            </w:r>
          </w:p>
        </w:tc>
      </w:tr>
      <w:tr>
        <w:tc>
          <w:tcPr>
            <w:tcW w:type="dxa" w:w="1728"/>
          </w:tcPr>
          <w:p>
            <w:r>
              <w:rPr>
                <w:rFonts w:ascii="Calibri" w:hAnsi="Calibri"/>
                <w:sz w:val="22"/>
              </w:rPr>
              <w:t>Total Revenue</w:t>
            </w:r>
          </w:p>
        </w:tc>
        <w:tc>
          <w:tcPr>
            <w:tcW w:type="dxa" w:w="1728"/>
          </w:tcPr>
          <w:p>
            <w:r>
              <w:rPr>
                <w:rFonts w:ascii="Calibri" w:hAnsi="Calibri"/>
                <w:sz w:val="22"/>
              </w:rPr>
              <w:t>$7.276B</w:t>
            </w:r>
          </w:p>
        </w:tc>
        <w:tc>
          <w:tcPr>
            <w:tcW w:type="dxa" w:w="1728"/>
          </w:tcPr>
          <w:p>
            <w:r>
              <w:rPr>
                <w:rFonts w:ascii="Calibri" w:hAnsi="Calibri"/>
                <w:sz w:val="22"/>
              </w:rPr>
              <w:t>$28.40B</w:t>
            </w:r>
          </w:p>
        </w:tc>
        <w:tc>
          <w:tcPr>
            <w:tcW w:type="dxa" w:w="1728"/>
          </w:tcPr>
          <w:p>
            <w:r>
              <w:rPr>
                <w:rFonts w:ascii="Calibri" w:hAnsi="Calibri"/>
                <w:sz w:val="22"/>
              </w:rPr>
              <w:t>$29.78B</w:t>
            </w:r>
          </w:p>
        </w:tc>
        <w:tc>
          <w:tcPr>
            <w:tcW w:type="dxa" w:w="1728"/>
          </w:tcPr>
          <w:p>
            <w:r>
              <w:rPr>
                <w:rFonts w:ascii="Calibri" w:hAnsi="Calibri"/>
                <w:sz w:val="22"/>
              </w:rPr>
              <w:t>↓ Slight drift lower; stable recently</w:t>
            </w:r>
          </w:p>
        </w:tc>
      </w:tr>
      <w:tr>
        <w:tc>
          <w:tcPr>
            <w:tcW w:type="dxa" w:w="1728"/>
          </w:tcPr>
          <w:p>
            <w:r>
              <w:rPr>
                <w:rFonts w:ascii="Calibri" w:hAnsi="Calibri"/>
                <w:sz w:val="22"/>
              </w:rPr>
              <w:t>Adjusted EPS</w:t>
            </w:r>
          </w:p>
        </w:tc>
        <w:tc>
          <w:tcPr>
            <w:tcW w:type="dxa" w:w="1728"/>
          </w:tcPr>
          <w:p>
            <w:r>
              <w:rPr>
                <w:rFonts w:ascii="Calibri" w:hAnsi="Calibri"/>
                <w:sz w:val="22"/>
              </w:rPr>
              <w:t>$2.89</w:t>
            </w:r>
          </w:p>
        </w:tc>
        <w:tc>
          <w:tcPr>
            <w:tcW w:type="dxa" w:w="1728"/>
          </w:tcPr>
          <w:p>
            <w:r>
              <w:rPr>
                <w:rFonts w:ascii="Calibri" w:hAnsi="Calibri"/>
                <w:sz w:val="22"/>
              </w:rPr>
              <w:t>$10.37</w:t>
            </w:r>
          </w:p>
        </w:tc>
        <w:tc>
          <w:tcPr>
            <w:tcW w:type="dxa" w:w="1728"/>
          </w:tcPr>
          <w:p>
            <w:r>
              <w:rPr>
                <w:rFonts w:ascii="Calibri" w:hAnsi="Calibri"/>
                <w:sz w:val="22"/>
              </w:rPr>
              <w:t>$11.29</w:t>
            </w:r>
          </w:p>
        </w:tc>
        <w:tc>
          <w:tcPr>
            <w:tcW w:type="dxa" w:w="1728"/>
          </w:tcPr>
          <w:p>
            <w:r>
              <w:rPr>
                <w:rFonts w:ascii="Calibri" w:hAnsi="Calibri"/>
                <w:sz w:val="22"/>
              </w:rPr>
              <w:t>↓ 3 downward revisions, 0 upward (60 days)</w:t>
            </w:r>
          </w:p>
        </w:tc>
      </w:tr>
      <w:tr>
        <w:tc>
          <w:tcPr>
            <w:tcW w:type="dxa" w:w="1728"/>
          </w:tcPr>
          <w:p>
            <w:r>
              <w:rPr>
                <w:rFonts w:ascii="Calibri" w:hAnsi="Calibri"/>
                <w:sz w:val="22"/>
              </w:rPr>
              <w:t>Adj. Operating Margin</w:t>
            </w:r>
          </w:p>
        </w:tc>
        <w:tc>
          <w:tcPr>
            <w:tcW w:type="dxa" w:w="1728"/>
          </w:tcPr>
          <w:p>
            <w:r>
              <w:rPr>
                <w:rFonts w:ascii="Calibri" w:hAnsi="Calibri"/>
                <w:sz w:val="22"/>
              </w:rPr>
              <w:t>29.2%</w:t>
            </w:r>
          </w:p>
        </w:tc>
        <w:tc>
          <w:tcPr>
            <w:tcW w:type="dxa" w:w="1728"/>
          </w:tcPr>
          <w:p>
            <w:r>
              <w:rPr>
                <w:rFonts w:ascii="Calibri" w:hAnsi="Calibri"/>
                <w:sz w:val="22"/>
              </w:rPr>
              <w:t>27.2%</w:t>
            </w:r>
          </w:p>
        </w:tc>
        <w:tc>
          <w:tcPr>
            <w:tcW w:type="dxa" w:w="1728"/>
          </w:tcPr>
          <w:p>
            <w:r>
              <w:rPr>
                <w:rFonts w:ascii="Calibri" w:hAnsi="Calibri"/>
                <w:sz w:val="22"/>
              </w:rPr>
              <w:t>27.6%</w:t>
            </w:r>
          </w:p>
        </w:tc>
        <w:tc>
          <w:tcPr>
            <w:tcW w:type="dxa" w:w="1728"/>
          </w:tcPr>
          <w:p>
            <w:r>
              <w:rPr>
                <w:rFonts w:ascii="Calibri" w:hAnsi="Calibri"/>
                <w:sz w:val="22"/>
              </w:rPr>
              <w:t>Stable; H2 expansion expected per mgmt.</w:t>
            </w:r>
          </w:p>
        </w:tc>
      </w:tr>
      <w:tr>
        <w:tc>
          <w:tcPr>
            <w:tcW w:type="dxa" w:w="1728"/>
          </w:tcPr>
          <w:p>
            <w:r>
              <w:rPr>
                <w:rFonts w:ascii="Calibri" w:hAnsi="Calibri"/>
                <w:sz w:val="22"/>
              </w:rPr>
              <w:t>Organic Revenue Growth</w:t>
            </w:r>
          </w:p>
        </w:tc>
        <w:tc>
          <w:tcPr>
            <w:tcW w:type="dxa" w:w="1728"/>
          </w:tcPr>
          <w:p>
            <w:r>
              <w:rPr>
                <w:rFonts w:ascii="Calibri" w:hAnsi="Calibri"/>
                <w:sz w:val="22"/>
              </w:rPr>
              <w:t>~3.6%</w:t>
            </w:r>
          </w:p>
        </w:tc>
        <w:tc>
          <w:tcPr>
            <w:tcW w:type="dxa" w:w="1728"/>
          </w:tcPr>
          <w:p>
            <w:r>
              <w:rPr>
                <w:rFonts w:ascii="Calibri" w:hAnsi="Calibri"/>
                <w:sz w:val="22"/>
              </w:rPr>
              <w:t>~3.7%</w:t>
            </w:r>
          </w:p>
        </w:tc>
        <w:tc>
          <w:tcPr>
            <w:tcW w:type="dxa" w:w="1728"/>
          </w:tcPr>
          <w:p>
            <w:r>
              <w:rPr>
                <w:rFonts w:ascii="Calibri" w:hAnsi="Calibri"/>
                <w:sz w:val="22"/>
              </w:rPr>
              <w:t>~3.8%</w:t>
            </w:r>
          </w:p>
        </w:tc>
        <w:tc>
          <w:tcPr>
            <w:tcW w:type="dxa" w:w="1728"/>
          </w:tcPr>
          <w:p>
            <w:r>
              <w:rPr>
                <w:rFonts w:ascii="Calibri" w:hAnsi="Calibri"/>
                <w:sz w:val="22"/>
              </w:rPr>
              <w:t>Slightly below mgmt. ~4% framework</w:t>
            </w:r>
          </w:p>
        </w:tc>
      </w:tr>
    </w:tbl>
    <w:p>
      <w:r>
        <w:rPr>
          <w:rFonts w:ascii="Calibri" w:hAnsi="Calibri"/>
          <w:i/>
          <w:color w:val="525866"/>
          <w:sz w:val="22"/>
        </w:rPr>
        <w:t>Source: Visible Alpha Consensus and Actuals Data; Zacks Investment Research (July 15, 2026); Investing.com (July 20,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MRSH has </w:t>
      </w:r>
      <w:r>
        <w:rPr>
          <w:rFonts w:ascii="Calibri" w:hAnsi="Calibri"/>
          <w:b/>
          <w:color w:val="525866"/>
          <w:sz w:val="22"/>
        </w:rPr>
        <w:t>significantly underperformed</w:t>
      </w:r>
      <w:r>
        <w:rPr>
          <w:rFonts w:ascii="Calibri" w:hAnsi="Calibri"/>
          <w:color w:val="525866"/>
          <w:sz w:val="22"/>
        </w:rPr>
        <w:t xml:space="preserve"> both the S&amp;P 500 (SPY) and the insurance sector ETF (IAK) since Q1 2026 earnings on April 16, 2026. The stock de-rated from ~$188 in late January to ~$182 currently, while SPY rallied and IAK outperformed. At ~17.6x forward earnings, the multiple has compressed from earlier highs, creating a more neutral-to-attractive entry point if Q2 delivers.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MRSH vs. SPY vs. IAK — Indexed Price Performance (Jan 28, 2026 – Jul 17, 2026). Note: MRSH price data available through March 13, 2026 in dataset; SPY and IAK shown through July 17, 2026. Source: Yahoo Finance / Stock Price Data.</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Metric</w:t>
            </w:r>
          </w:p>
        </w:tc>
        <w:tc>
          <w:tcPr>
            <w:tcW w:type="dxa" w:w="4320"/>
            <w:shd w:val="clear" w:color="auto" w:fill="3B4259"/>
          </w:tcPr>
          <w:p>
            <w:r>
              <w:rPr>
                <w:rFonts w:ascii="Calibri" w:hAnsi="Calibri"/>
                <w:b/>
                <w:color w:val="FFFFFF"/>
                <w:sz w:val="22"/>
              </w:rPr>
              <w:t>Value</w:t>
            </w:r>
          </w:p>
        </w:tc>
      </w:tr>
      <w:tr>
        <w:tc>
          <w:tcPr>
            <w:tcW w:type="dxa" w:w="4320"/>
          </w:tcPr>
          <w:p>
            <w:r>
              <w:rPr>
                <w:rFonts w:ascii="Calibri" w:hAnsi="Calibri"/>
                <w:sz w:val="22"/>
              </w:rPr>
              <w:t>Current Price (approx.)</w:t>
            </w:r>
          </w:p>
        </w:tc>
        <w:tc>
          <w:tcPr>
            <w:tcW w:type="dxa" w:w="4320"/>
          </w:tcPr>
          <w:p>
            <w:r>
              <w:rPr>
                <w:rFonts w:ascii="Calibri" w:hAnsi="Calibri"/>
                <w:sz w:val="22"/>
              </w:rPr>
              <w:t>~$182.15</w:t>
            </w:r>
          </w:p>
        </w:tc>
      </w:tr>
      <w:tr>
        <w:tc>
          <w:tcPr>
            <w:tcW w:type="dxa" w:w="4320"/>
          </w:tcPr>
          <w:p>
            <w:r>
              <w:rPr>
                <w:rFonts w:ascii="Calibri" w:hAnsi="Calibri"/>
                <w:sz w:val="22"/>
              </w:rPr>
              <w:t>52-Week Range</w:t>
            </w:r>
          </w:p>
        </w:tc>
        <w:tc>
          <w:tcPr>
            <w:tcW w:type="dxa" w:w="4320"/>
          </w:tcPr>
          <w:p>
            <w:r>
              <w:rPr>
                <w:rFonts w:ascii="Calibri" w:hAnsi="Calibri"/>
                <w:sz w:val="22"/>
              </w:rPr>
              <w:t>$156.60 – $213.80</w:t>
            </w:r>
          </w:p>
        </w:tc>
      </w:tr>
      <w:tr>
        <w:tc>
          <w:tcPr>
            <w:tcW w:type="dxa" w:w="4320"/>
          </w:tcPr>
          <w:p>
            <w:r>
              <w:rPr>
                <w:rFonts w:ascii="Calibri" w:hAnsi="Calibri"/>
                <w:sz w:val="22"/>
              </w:rPr>
              <w:t>Market Cap</w:t>
            </w:r>
          </w:p>
        </w:tc>
        <w:tc>
          <w:tcPr>
            <w:tcW w:type="dxa" w:w="4320"/>
          </w:tcPr>
          <w:p>
            <w:r>
              <w:rPr>
                <w:rFonts w:ascii="Calibri" w:hAnsi="Calibri"/>
                <w:sz w:val="22"/>
              </w:rPr>
              <w:t>~$87.8B</w:t>
            </w:r>
          </w:p>
        </w:tc>
      </w:tr>
      <w:tr>
        <w:tc>
          <w:tcPr>
            <w:tcW w:type="dxa" w:w="4320"/>
          </w:tcPr>
          <w:p>
            <w:r>
              <w:rPr>
                <w:rFonts w:ascii="Calibri" w:hAnsi="Calibri"/>
                <w:sz w:val="22"/>
              </w:rPr>
              <w:t>Trailing P/E</w:t>
            </w:r>
          </w:p>
        </w:tc>
        <w:tc>
          <w:tcPr>
            <w:tcW w:type="dxa" w:w="4320"/>
          </w:tcPr>
          <w:p>
            <w:r>
              <w:rPr>
                <w:rFonts w:ascii="Calibri" w:hAnsi="Calibri"/>
                <w:sz w:val="22"/>
              </w:rPr>
              <w:t>~22.7x</w:t>
            </w:r>
          </w:p>
        </w:tc>
      </w:tr>
      <w:tr>
        <w:tc>
          <w:tcPr>
            <w:tcW w:type="dxa" w:w="4320"/>
          </w:tcPr>
          <w:p>
            <w:r>
              <w:rPr>
                <w:rFonts w:ascii="Calibri" w:hAnsi="Calibri"/>
                <w:sz w:val="22"/>
              </w:rPr>
              <w:t>Forward P/E (FY2026E)</w:t>
            </w:r>
          </w:p>
        </w:tc>
        <w:tc>
          <w:tcPr>
            <w:tcW w:type="dxa" w:w="4320"/>
          </w:tcPr>
          <w:p>
            <w:r>
              <w:rPr>
                <w:rFonts w:ascii="Calibri" w:hAnsi="Calibri"/>
                <w:sz w:val="22"/>
              </w:rPr>
              <w:t>~17.6x</w:t>
            </w:r>
          </w:p>
        </w:tc>
      </w:tr>
      <w:tr>
        <w:tc>
          <w:tcPr>
            <w:tcW w:type="dxa" w:w="4320"/>
          </w:tcPr>
          <w:p>
            <w:r>
              <w:rPr>
                <w:rFonts w:ascii="Calibri" w:hAnsi="Calibri"/>
                <w:sz w:val="22"/>
              </w:rPr>
              <w:t>Consensus Avg. Price Target</w:t>
            </w:r>
          </w:p>
        </w:tc>
        <w:tc>
          <w:tcPr>
            <w:tcW w:type="dxa" w:w="4320"/>
          </w:tcPr>
          <w:p>
            <w:r>
              <w:rPr>
                <w:rFonts w:ascii="Calibri" w:hAnsi="Calibri"/>
                <w:sz w:val="22"/>
              </w:rPr>
              <w:t>~$200.81 (Hold consensus)</w:t>
            </w:r>
          </w:p>
        </w:tc>
      </w:tr>
      <w:tr>
        <w:tc>
          <w:tcPr>
            <w:tcW w:type="dxa" w:w="4320"/>
          </w:tcPr>
          <w:p>
            <w:r>
              <w:rPr>
                <w:rFonts w:ascii="Calibri" w:hAnsi="Calibri"/>
                <w:sz w:val="22"/>
              </w:rPr>
              <w:t>Upside to Consensus Target</w:t>
            </w:r>
          </w:p>
        </w:tc>
        <w:tc>
          <w:tcPr>
            <w:tcW w:type="dxa" w:w="4320"/>
          </w:tcPr>
          <w:p>
            <w:r>
              <w:rPr>
                <w:rFonts w:ascii="Calibri" w:hAnsi="Calibri"/>
                <w:sz w:val="22"/>
              </w:rPr>
              <w:t>~+10.2%</w:t>
            </w:r>
          </w:p>
        </w:tc>
      </w:tr>
      <w:tr>
        <w:tc>
          <w:tcPr>
            <w:tcW w:type="dxa" w:w="4320"/>
          </w:tcPr>
          <w:p>
            <w:r>
              <w:rPr>
                <w:rFonts w:ascii="Calibri" w:hAnsi="Calibri"/>
                <w:sz w:val="22"/>
              </w:rPr>
              <w:t>Dividend Yield (annualized)</w:t>
            </w:r>
          </w:p>
        </w:tc>
        <w:tc>
          <w:tcPr>
            <w:tcW w:type="dxa" w:w="4320"/>
          </w:tcPr>
          <w:p>
            <w:r>
              <w:rPr>
                <w:rFonts w:ascii="Calibri" w:hAnsi="Calibri"/>
                <w:sz w:val="22"/>
              </w:rPr>
              <w:t>~2.2% ($0.99/qtr as of Q1 2026)</w:t>
            </w:r>
          </w:p>
        </w:tc>
      </w:tr>
    </w:tbl>
    <w:p>
      <w:r>
        <w:rPr>
          <w:rFonts w:ascii="Calibri" w:hAnsi="Calibri"/>
          <w:i/>
          <w:color w:val="525866"/>
          <w:sz w:val="22"/>
        </w:rPr>
        <w:t>Source: Yahoo Finance / Stock Price Data; MarketBeat (July 2026); Investing.com (July 20, 2026).</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Both AJG and AON provided substantive Q2 2026 commentary in the last 60 days that is directly relevant to MRSH. The read-through is </w:t>
      </w:r>
      <w:r>
        <w:rPr>
          <w:rFonts w:ascii="Calibri" w:hAnsi="Calibri"/>
          <w:b/>
          <w:color w:val="525866"/>
          <w:sz w:val="22"/>
        </w:rPr>
        <w:t>mixed but net constructive</w:t>
      </w:r>
      <w:r>
        <w:rPr>
          <w:rFonts w:ascii="Calibri" w:hAnsi="Calibri"/>
          <w:color w:val="525866"/>
          <w:sz w:val="22"/>
        </w:rPr>
        <w:t>: property rates are softening meaningfully (down 9–11%), which is a headwind for RIS revenue growth, but casualty lines remain firm (up 5–7%), new business pipelines are healthy, and organic growth is holding in the mid-single-digit range for peers — suggesting MRSH's ~3.5–4% organic target is achievable.</w:t>
      </w:r>
    </w:p>
    <w:p>
      <w:pPr>
        <w:pStyle w:val="Heading3"/>
      </w:pPr>
      <w:r>
        <w:rPr>
          <w:rFonts w:ascii="Calibri" w:hAnsi="Calibri"/>
          <w:b/>
          <w:color w:val="3B4259"/>
          <w:sz w:val="24"/>
        </w:rPr>
        <w:t>Arthur J. Gallagher (AJG) — Pre-Q2 2026 Investor Meeting (June 17, 2026)</w:t>
      </w:r>
    </w:p>
    <w:p>
      <w:r>
        <w:rPr>
          <w:rFonts w:ascii="Calibri" w:hAnsi="Calibri"/>
          <w:i/>
          <w:color w:val="525866"/>
          <w:sz w:val="22"/>
        </w:rPr>
        <w:t>Source: AJG Pre-Q2 2026 Investor Meeting with Management (June 17, 2026). This is a direct Q2 2026 read-through as AJG provided real-time market color for the current quarter.</w:t>
      </w:r>
    </w:p>
    <w:p>
      <w:pPr>
        <w:pStyle w:val="Heading4"/>
      </w:pPr>
      <w:r>
        <w:rPr>
          <w:rFonts w:ascii="Calibri" w:hAnsi="Calibri"/>
          <w:b/>
          <w:color w:val="3B4259"/>
          <w:sz w:val="22"/>
        </w:rPr>
        <w:t>Insurance Pricing Trends (Q2 2026 to Date)</w:t>
      </w:r>
    </w:p>
    <w:p>
      <w:pPr>
        <w:pStyle w:val="ListBullet"/>
        <w:ind w:left="360" w:hanging="360"/>
      </w:pPr>
      <w:r>
        <w:rPr>
          <w:rFonts w:ascii="Calibri" w:hAnsi="Calibri"/>
          <w:b/>
          <w:color w:val="525866"/>
          <w:sz w:val="22"/>
        </w:rPr>
        <w:t xml:space="preserve">Property lines: </w:t>
      </w:r>
      <w:r>
        <w:rPr>
          <w:rFonts w:ascii="Calibri" w:hAnsi="Calibri"/>
          <w:color w:val="525866"/>
          <w:sz w:val="22"/>
        </w:rPr>
        <w:t>down 9% globally; in the Americas retail market, property is down 11% in Q2 2026 to date. Large property accounts are driving the bulk of the decline, while middle-market accounts see more muted softening. Clients realizing property savings are "opting back into coverage or increasing limits," partially offsetting the rate headwind.</w:t>
      </w:r>
    </w:p>
    <w:p>
      <w:pPr>
        <w:pStyle w:val="ListBullet"/>
        <w:ind w:left="360" w:hanging="360"/>
      </w:pPr>
      <w:r>
        <w:rPr>
          <w:rFonts w:ascii="Calibri" w:hAnsi="Calibri"/>
          <w:b/>
          <w:color w:val="525866"/>
          <w:sz w:val="22"/>
        </w:rPr>
        <w:t xml:space="preserve">Casualty lines: </w:t>
      </w:r>
      <w:r>
        <w:rPr>
          <w:rFonts w:ascii="Calibri" w:hAnsi="Calibri"/>
          <w:color w:val="525866"/>
          <w:sz w:val="22"/>
        </w:rPr>
        <w:t>up 5% globally; in the Americas, casualty is up 7% (general liability +4%, commercial auto +8%, umbrella +8%). Casualty remains firm due to ongoing loss cost pressure and underwriting margin discipline.</w:t>
      </w:r>
    </w:p>
    <w:p>
      <w:pPr>
        <w:pStyle w:val="ListBullet"/>
        <w:ind w:left="360" w:hanging="360"/>
      </w:pPr>
      <w:r>
        <w:rPr>
          <w:rFonts w:ascii="Calibri" w:hAnsi="Calibri"/>
          <w:b/>
          <w:color w:val="525866"/>
          <w:sz w:val="22"/>
        </w:rPr>
        <w:t xml:space="preserve">D&amp;O, Cyber &amp; Professional Lines: </w:t>
      </w:r>
      <w:r>
        <w:rPr>
          <w:rFonts w:ascii="Calibri" w:hAnsi="Calibri"/>
          <w:color w:val="525866"/>
          <w:sz w:val="22"/>
        </w:rPr>
        <w:t>up 2% globally; cyber up 5% in the Americas. Cyber remains a growth pocket.</w:t>
      </w:r>
    </w:p>
    <w:p>
      <w:pPr>
        <w:pStyle w:val="ListBullet"/>
        <w:ind w:left="360" w:hanging="360"/>
      </w:pPr>
      <w:r>
        <w:rPr>
          <w:rFonts w:ascii="Calibri" w:hAnsi="Calibri"/>
          <w:b/>
          <w:color w:val="525866"/>
          <w:sz w:val="22"/>
        </w:rPr>
        <w:t xml:space="preserve">Workers’ Compensation: </w:t>
      </w:r>
      <w:r>
        <w:rPr>
          <w:rFonts w:ascii="Calibri" w:hAnsi="Calibri"/>
          <w:color w:val="525866"/>
          <w:sz w:val="22"/>
        </w:rPr>
        <w:t>about flat.</w:t>
      </w:r>
    </w:p>
    <w:p>
      <w:pPr>
        <w:pStyle w:val="ListBullet"/>
        <w:ind w:left="360" w:hanging="360"/>
      </w:pPr>
      <w:r>
        <w:rPr>
          <w:rFonts w:ascii="Calibri" w:hAnsi="Calibri"/>
          <w:b/>
          <w:color w:val="525866"/>
          <w:sz w:val="22"/>
        </w:rPr>
        <w:t xml:space="preserve">Overall renewal premium change (Americas retail): </w:t>
      </w:r>
      <w:r>
        <w:rPr>
          <w:rFonts w:ascii="Calibri" w:hAnsi="Calibri"/>
          <w:color w:val="525866"/>
          <w:sz w:val="22"/>
        </w:rPr>
        <w:t>down ~2% in Q2 2026 to date (rate + exposure combined). Excluding property, up ~4% — consistent with Q1 2026 trends.</w:t>
      </w:r>
    </w:p>
    <w:p>
      <w:pPr>
        <w:pStyle w:val="ListBullet"/>
        <w:ind w:left="360" w:hanging="360"/>
      </w:pPr>
      <w:r>
        <w:rPr>
          <w:rFonts w:ascii="Calibri" w:hAnsi="Calibri"/>
          <w:b/>
          <w:color w:val="525866"/>
          <w:sz w:val="22"/>
        </w:rPr>
        <w:t xml:space="preserve">International markets: </w:t>
      </w:r>
      <w:r>
        <w:rPr>
          <w:rFonts w:ascii="Calibri" w:hAnsi="Calibri"/>
          <w:color w:val="525866"/>
          <w:sz w:val="22"/>
        </w:rPr>
        <w:t>UK down ~1%, Australia down ~1%, New Zealand down ~6% (property down ~10%). International softening is more pronounced in property-heavy markets.</w:t>
      </w:r>
    </w:p>
    <w:p>
      <w:pPr>
        <w:pStyle w:val="Heading4"/>
      </w:pPr>
      <w:r>
        <w:rPr>
          <w:rFonts w:ascii="Calibri" w:hAnsi="Calibri"/>
          <w:b/>
          <w:color w:val="3B4259"/>
          <w:sz w:val="22"/>
        </w:rPr>
        <w:t>Organic Growth &amp; Business Momentum</w:t>
      </w:r>
    </w:p>
    <w:p>
      <w:pPr>
        <w:pStyle w:val="ListBullet"/>
        <w:ind w:left="360" w:hanging="360"/>
      </w:pPr>
      <w:r>
        <w:rPr>
          <w:rFonts w:ascii="Calibri" w:hAnsi="Calibri"/>
          <w:color w:val="525866"/>
          <w:sz w:val="22"/>
        </w:rPr>
        <w:t>AJG's organic growth strategy is delivering: the company has grown organically by over $3 billion since 2020 and still touches less than 5% of the global insurance market, suggesting a long runway.</w:t>
      </w:r>
    </w:p>
    <w:p>
      <w:pPr>
        <w:pStyle w:val="ListBullet"/>
        <w:ind w:left="360" w:hanging="360"/>
      </w:pPr>
      <w:r>
        <w:rPr>
          <w:rFonts w:ascii="Calibri" w:hAnsi="Calibri"/>
          <w:b/>
          <w:color w:val="525866"/>
          <w:sz w:val="22"/>
        </w:rPr>
        <w:t xml:space="preserve">M&amp;A tailwinds: </w:t>
      </w:r>
      <w:r>
        <w:rPr>
          <w:rFonts w:ascii="Calibri" w:hAnsi="Calibri"/>
          <w:color w:val="525866"/>
          <w:sz w:val="22"/>
        </w:rPr>
        <w:t>Corporate acquisitions were up over 25% in Q1 2026, a meaningful tailwind for insurance demand. Data center spend by hyperscalers is also cited as a significant growth driver.</w:t>
      </w:r>
    </w:p>
    <w:p>
      <w:pPr>
        <w:pStyle w:val="ListBullet"/>
        <w:ind w:left="360" w:hanging="360"/>
      </w:pPr>
      <w:r>
        <w:rPr>
          <w:rFonts w:ascii="Calibri" w:hAnsi="Calibri"/>
          <w:b/>
          <w:color w:val="525866"/>
          <w:sz w:val="22"/>
        </w:rPr>
        <w:t xml:space="preserve">Specialty/MGA/MGU: </w:t>
      </w:r>
      <w:r>
        <w:rPr>
          <w:rFonts w:ascii="Calibri" w:hAnsi="Calibri"/>
          <w:color w:val="525866"/>
          <w:sz w:val="22"/>
        </w:rPr>
        <w:t>Continued growth in specialty lines, MGAs, and MGUs — a positive read-through for Marsh's wholesale and specialty operations.</w:t>
      </w:r>
    </w:p>
    <w:p>
      <w:pPr>
        <w:pStyle w:val="Heading4"/>
      </w:pPr>
      <w:r>
        <w:rPr>
          <w:rFonts w:ascii="Calibri" w:hAnsi="Calibri"/>
          <w:b/>
          <w:color w:val="3B4259"/>
          <w:sz w:val="22"/>
        </w:rPr>
        <w:t>MRSH Read-Through</w:t>
      </w:r>
    </w:p>
    <w:p>
      <w:r>
        <w:rPr>
          <w:rFonts w:ascii="Calibri" w:hAnsi="Calibri"/>
          <w:color w:val="525866"/>
          <w:sz w:val="22"/>
        </w:rPr>
        <w:t xml:space="preserve">The AJG data points to a </w:t>
      </w:r>
      <w:r>
        <w:rPr>
          <w:rFonts w:ascii="Calibri" w:hAnsi="Calibri"/>
          <w:b/>
          <w:color w:val="525866"/>
          <w:sz w:val="22"/>
        </w:rPr>
        <w:t>bifurcated pricing environment</w:t>
      </w:r>
      <w:r>
        <w:rPr>
          <w:rFonts w:ascii="Calibri" w:hAnsi="Calibri"/>
          <w:color w:val="525866"/>
          <w:sz w:val="22"/>
        </w:rPr>
        <w:t xml:space="preserve"> that is consistent with what Marsh management flagged at Q1 2026 ("more challenging market conditions" for Marsh Risk). Property softening is a headwind to RIS revenue growth, but the casualty firmness and new business momentum (M&amp;A activity, data centers, cyber) should partially offset. The fact that AJG sees overall renewal premium change of only -2% (ex-property: +4%) suggests Marsh's ~4% organic growth target for RIS is achievable but not a layup. The key risk is whether large property account renewals create a larger-than-expected drag on Marsh's Q2 RIS revenue.</w:t>
      </w:r>
    </w:p>
    <w:p>
      <w:pPr>
        <w:pStyle w:val="Heading3"/>
      </w:pPr>
      <w:r>
        <w:rPr>
          <w:rFonts w:ascii="Calibri" w:hAnsi="Calibri"/>
          <w:b/>
          <w:color w:val="3B4259"/>
          <w:sz w:val="24"/>
        </w:rPr>
        <w:t>Aon (AON) — Morgan Stanley U.S. Financials Conference (June 9, 2026)</w:t>
      </w:r>
    </w:p>
    <w:p>
      <w:r>
        <w:rPr>
          <w:rFonts w:ascii="Calibri" w:hAnsi="Calibri"/>
          <w:i/>
          <w:color w:val="525866"/>
          <w:sz w:val="22"/>
        </w:rPr>
        <w:t>Source: AON Morgan Stanley U.S. Financials Conference (June 9, 2026). AON CFO Edmund Reese provided Q2 2026 market color and organic growth commentary.</w:t>
      </w:r>
    </w:p>
    <w:p>
      <w:pPr>
        <w:pStyle w:val="Heading4"/>
      </w:pPr>
      <w:r>
        <w:rPr>
          <w:rFonts w:ascii="Calibri" w:hAnsi="Calibri"/>
          <w:b/>
          <w:color w:val="3B4259"/>
          <w:sz w:val="22"/>
        </w:rPr>
        <w:t>Insurance Market &amp; Pricing</w:t>
      </w:r>
    </w:p>
    <w:p>
      <w:pPr>
        <w:pStyle w:val="ListBullet"/>
        <w:ind w:left="360" w:hanging="360"/>
      </w:pPr>
      <w:r>
        <w:rPr>
          <w:rFonts w:ascii="Calibri" w:hAnsi="Calibri"/>
          <w:b/>
          <w:color w:val="525866"/>
          <w:sz w:val="22"/>
        </w:rPr>
        <w:t xml:space="preserve">Pricing as a collection of micro-markets: </w:t>
      </w:r>
      <w:r>
        <w:rPr>
          <w:rFonts w:ascii="Calibri" w:hAnsi="Calibri"/>
          <w:color w:val="525866"/>
          <w:sz w:val="22"/>
        </w:rPr>
        <w:t>AON's CFO emphasized that pricing varies by geography, product, and client segment — not a single cycle. The R-squared of pricing to AON's organic growth is only 0.1%, while Nominal GDP has an R-squared of 0.67, meaning macro conditions matter far more than rate movements for revenue growth.</w:t>
      </w:r>
    </w:p>
    <w:p>
      <w:pPr>
        <w:pStyle w:val="ListBullet"/>
        <w:ind w:left="360" w:hanging="360"/>
      </w:pPr>
      <w:r>
        <w:rPr>
          <w:rFonts w:ascii="Calibri" w:hAnsi="Calibri"/>
          <w:b/>
          <w:color w:val="525866"/>
          <w:sz w:val="22"/>
        </w:rPr>
        <w:t xml:space="preserve">Large property: </w:t>
      </w:r>
      <w:r>
        <w:rPr>
          <w:rFonts w:ascii="Calibri" w:hAnsi="Calibri"/>
          <w:color w:val="525866"/>
          <w:sz w:val="22"/>
        </w:rPr>
        <w:t>"15% decline in rate" for large property accounts — the segment that saw the highest increases over the last five years. Middle-market property softening is more muted.</w:t>
      </w:r>
    </w:p>
    <w:p>
      <w:pPr>
        <w:pStyle w:val="ListBullet"/>
        <w:ind w:left="360" w:hanging="360"/>
      </w:pPr>
      <w:r>
        <w:rPr>
          <w:rFonts w:ascii="Calibri" w:hAnsi="Calibri"/>
          <w:b/>
          <w:color w:val="525866"/>
          <w:sz w:val="22"/>
        </w:rPr>
        <w:t xml:space="preserve">Casualty: </w:t>
      </w:r>
      <w:r>
        <w:rPr>
          <w:rFonts w:ascii="Calibri" w:hAnsi="Calibri"/>
          <w:color w:val="525866"/>
          <w:sz w:val="22"/>
        </w:rPr>
        <w:t>"Still growing at a high single-digit rate" though some deceleration may occur. Structural loss severity trends argue against a prolonged soft pricing environment in casualty.</w:t>
      </w:r>
    </w:p>
    <w:p>
      <w:pPr>
        <w:pStyle w:val="ListBullet"/>
        <w:ind w:left="360" w:hanging="360"/>
      </w:pPr>
      <w:r>
        <w:rPr>
          <w:rFonts w:ascii="Calibri" w:hAnsi="Calibri"/>
          <w:b/>
          <w:color w:val="525866"/>
          <w:sz w:val="22"/>
        </w:rPr>
        <w:t xml:space="preserve">AON's value proposition: </w:t>
      </w:r>
      <w:r>
        <w:rPr>
          <w:rFonts w:ascii="Calibri" w:hAnsi="Calibri"/>
          <w:color w:val="525866"/>
          <w:sz w:val="22"/>
        </w:rPr>
        <w:t>"The value is not in the rate for us. The value is in placing complex insurance and designing the solutions." AON has driven "1 point of contribution from this environment" and maintains confidence in "mid-single-digit growth in all pricing environments."</w:t>
      </w:r>
    </w:p>
    <w:p>
      <w:pPr>
        <w:pStyle w:val="Heading4"/>
      </w:pPr>
      <w:r>
        <w:rPr>
          <w:rFonts w:ascii="Calibri" w:hAnsi="Calibri"/>
          <w:b/>
          <w:color w:val="3B4259"/>
          <w:sz w:val="22"/>
        </w:rPr>
        <w:t>Organic Growth Drivers</w:t>
      </w:r>
    </w:p>
    <w:p>
      <w:pPr>
        <w:pStyle w:val="ListBullet"/>
        <w:ind w:left="360" w:hanging="360"/>
      </w:pPr>
      <w:r>
        <w:rPr>
          <w:rFonts w:ascii="Calibri" w:hAnsi="Calibri"/>
          <w:color w:val="525866"/>
          <w:sz w:val="22"/>
        </w:rPr>
        <w:t>AON achieved 6% top-line organic growth in both 2024 and 2025, running 150 bps above the industry average in the most recent data point.</w:t>
      </w:r>
    </w:p>
    <w:p>
      <w:pPr>
        <w:pStyle w:val="ListBullet"/>
        <w:ind w:left="360" w:hanging="360"/>
      </w:pPr>
      <w:r>
        <w:rPr>
          <w:rFonts w:ascii="Calibri" w:hAnsi="Calibri"/>
          <w:b/>
          <w:color w:val="525866"/>
          <w:sz w:val="22"/>
        </w:rPr>
        <w:t xml:space="preserve">Commercial Risk organic growth: </w:t>
      </w:r>
      <w:r>
        <w:rPr>
          <w:rFonts w:ascii="Calibri" w:hAnsi="Calibri"/>
          <w:color w:val="525866"/>
          <w:sz w:val="22"/>
        </w:rPr>
        <w:t>7% in the most recent quarter, 440 bps above the industry average. Key drivers: new business from revenue-generating hires in data centers, construction, energy, and health (+75 bps to revenue growth); retention up 50 bps in 2025 and 20 bps in the most recent quarter.</w:t>
      </w:r>
    </w:p>
    <w:p>
      <w:pPr>
        <w:pStyle w:val="ListBullet"/>
        <w:ind w:left="360" w:hanging="360"/>
      </w:pPr>
      <w:r>
        <w:rPr>
          <w:rFonts w:ascii="Calibri" w:hAnsi="Calibri"/>
          <w:b/>
          <w:color w:val="525866"/>
          <w:sz w:val="22"/>
        </w:rPr>
        <w:t xml:space="preserve">New business pipeline: </w:t>
      </w:r>
      <w:r>
        <w:rPr>
          <w:rFonts w:ascii="Calibri" w:hAnsi="Calibri"/>
          <w:color w:val="525866"/>
          <w:sz w:val="22"/>
        </w:rPr>
        <w:t>AON Client Leadership program driving double-digit new business growth in large global accounts. M&amp;A activity (corporate acquisitions up 25%+ in Q1 2026) and data center hyperscaler spend are cited as structural tailwinds.</w:t>
      </w:r>
    </w:p>
    <w:p>
      <w:pPr>
        <w:pStyle w:val="ListBullet"/>
        <w:ind w:left="360" w:hanging="360"/>
      </w:pPr>
      <w:r>
        <w:rPr>
          <w:rFonts w:ascii="Calibri" w:hAnsi="Calibri"/>
          <w:b/>
          <w:color w:val="525866"/>
          <w:sz w:val="22"/>
        </w:rPr>
        <w:t xml:space="preserve">Reinsurance (Treaty): </w:t>
      </w:r>
      <w:r>
        <w:rPr>
          <w:rFonts w:ascii="Calibri" w:hAnsi="Calibri"/>
          <w:color w:val="525866"/>
          <w:sz w:val="22"/>
        </w:rPr>
        <w:t>AON noted "more underwriting focus driving less aggressive price competition" in reinsurance, consistent with the softer reinsurance market conditions Marsh flagged for Guy Carpenter in Q1 2026.</w:t>
      </w:r>
    </w:p>
    <w:p>
      <w:pPr>
        <w:pStyle w:val="ListBullet"/>
        <w:ind w:left="360" w:hanging="360"/>
      </w:pPr>
      <w:r>
        <w:rPr>
          <w:rFonts w:ascii="Calibri" w:hAnsi="Calibri"/>
          <w:b/>
          <w:color w:val="525866"/>
          <w:sz w:val="22"/>
        </w:rPr>
        <w:t xml:space="preserve">Balance sheet: </w:t>
      </w:r>
      <w:r>
        <w:rPr>
          <w:rFonts w:ascii="Calibri" w:hAnsi="Calibri"/>
          <w:color w:val="525866"/>
          <w:sz w:val="22"/>
        </w:rPr>
        <w:t>AON's balance sheet is "stronger than ever with free cash flow back at a double-digit level" — a positive signal for the sector's financial health broadly.</w:t>
      </w:r>
    </w:p>
    <w:p>
      <w:pPr>
        <w:pStyle w:val="Heading4"/>
      </w:pPr>
      <w:r>
        <w:rPr>
          <w:rFonts w:ascii="Calibri" w:hAnsi="Calibri"/>
          <w:b/>
          <w:color w:val="3B4259"/>
          <w:sz w:val="22"/>
        </w:rPr>
        <w:t>MRSH Read-Through</w:t>
      </w:r>
    </w:p>
    <w:p>
      <w:r>
        <w:rPr>
          <w:rFonts w:ascii="Calibri" w:hAnsi="Calibri"/>
          <w:color w:val="525866"/>
          <w:sz w:val="22"/>
        </w:rPr>
        <w:t xml:space="preserve">AON's commentary is </w:t>
      </w:r>
      <w:r>
        <w:rPr>
          <w:rFonts w:ascii="Calibri" w:hAnsi="Calibri"/>
          <w:b/>
          <w:color w:val="525866"/>
          <w:sz w:val="22"/>
        </w:rPr>
        <w:t>net positive for MRSH</w:t>
      </w:r>
      <w:r>
        <w:rPr>
          <w:rFonts w:ascii="Calibri" w:hAnsi="Calibri"/>
          <w:color w:val="525866"/>
          <w:sz w:val="22"/>
        </w:rPr>
        <w:t xml:space="preserve"> on several dimensions: (1) the low correlation between pricing and organic growth validates Marsh's ability to grow organically even in a softening property rate environment; (2) the structural tailwinds (M&amp;A activity, data centers, cyber) are shared across the sector and should benefit Marsh's new business pipeline; (3) the reinsurance market commentary ("more underwriting focus, less aggressive price competition") is consistent with Guy Carpenter's Q1 2026 slowdown and suggests Q2 GC growth may remain muted. The key positive read-through is that mid-single-digit organic growth is achievable for large brokers even with property rate headwinds, which supports Marsh's ~4% full-year guidance.</w:t>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Since Q1 2026 earnings (April 16, 2026), the most notable developments are a </w:t>
      </w:r>
      <w:r>
        <w:rPr>
          <w:rFonts w:ascii="Calibri" w:hAnsi="Calibri"/>
          <w:b/>
          <w:color w:val="525866"/>
          <w:sz w:val="22"/>
        </w:rPr>
        <w:t>leadership transition at Marsh Risk</w:t>
      </w:r>
      <w:r>
        <w:rPr>
          <w:rFonts w:ascii="Calibri" w:hAnsi="Calibri"/>
          <w:color w:val="525866"/>
          <w:sz w:val="22"/>
        </w:rPr>
        <w:t xml:space="preserve"> and a </w:t>
      </w:r>
      <w:r>
        <w:rPr>
          <w:rFonts w:ascii="Calibri" w:hAnsi="Calibri"/>
          <w:b/>
          <w:color w:val="525866"/>
          <w:sz w:val="22"/>
        </w:rPr>
        <w:t>dividend increase to $0.99/quarter</w:t>
      </w:r>
      <w:r>
        <w:rPr>
          <w:rFonts w:ascii="Calibri" w:hAnsi="Calibri"/>
          <w:color w:val="525866"/>
          <w:sz w:val="22"/>
        </w:rPr>
        <w:t xml:space="preserve"> — both signals of operational confidence. Analyst sentiment has been mixed, with a Mizuho downgrade on valuation offset by a Raymond James upgrade on valuation reset.</w:t>
      </w:r>
    </w:p>
    <w:p>
      <w:pPr>
        <w:pStyle w:val="ListBullet"/>
        <w:ind w:left="360" w:hanging="360"/>
      </w:pPr>
      <w:r>
        <w:rPr>
          <w:rFonts w:ascii="Calibri" w:hAnsi="Calibri"/>
          <w:b/>
          <w:color w:val="525866"/>
          <w:sz w:val="22"/>
        </w:rPr>
        <w:t xml:space="preserve">Earnings Date Confirmed: </w:t>
      </w:r>
      <w:r>
        <w:rPr>
          <w:rFonts w:ascii="Calibri" w:hAnsi="Calibri"/>
          <w:color w:val="525866"/>
          <w:sz w:val="22"/>
        </w:rPr>
        <w:t>Marsh &amp; McLennan will release Q2 2026 results on July 21, 2026, before market open, with an investor call at 8:30 AM EDT led by CEO John Doyle and CFO Mark McGivney. (Source: Business Wire, June 23, 2026)</w:t>
      </w:r>
    </w:p>
    <w:p>
      <w:pPr>
        <w:pStyle w:val="ListBullet"/>
        <w:ind w:left="360" w:hanging="360"/>
      </w:pPr>
      <w:r>
        <w:rPr>
          <w:rFonts w:ascii="Calibri" w:hAnsi="Calibri"/>
          <w:b/>
          <w:color w:val="525866"/>
          <w:sz w:val="22"/>
        </w:rPr>
        <w:t xml:space="preserve">Leadership Change — Marsh Risk: </w:t>
      </w:r>
      <w:r>
        <w:rPr>
          <w:rFonts w:ascii="Calibri" w:hAnsi="Calibri"/>
          <w:color w:val="525866"/>
          <w:sz w:val="22"/>
        </w:rPr>
        <w:t>Nick Studer appointed as President and CEO of Marsh Risk; Martin South transitions to Chief Client Officer. Both remain on Marsh's Executive Committee. This is a notable succession move at the flagship segment. (Source: Barclays research note, March 2026)</w:t>
      </w:r>
    </w:p>
    <w:p>
      <w:pPr>
        <w:pStyle w:val="ListBullet"/>
        <w:ind w:left="360" w:hanging="360"/>
      </w:pPr>
      <w:r>
        <w:rPr>
          <w:rFonts w:ascii="Calibri" w:hAnsi="Calibri"/>
          <w:b/>
          <w:color w:val="525866"/>
          <w:sz w:val="22"/>
        </w:rPr>
        <w:t xml:space="preserve">Dividend Increase: </w:t>
      </w:r>
      <w:r>
        <w:rPr>
          <w:rFonts w:ascii="Calibri" w:hAnsi="Calibri"/>
          <w:color w:val="525866"/>
          <w:sz w:val="22"/>
        </w:rPr>
        <w:t>Following Q1 2026 earnings, Marsh raised its quarterly dividend to $0.99 per share (from $0.90), representing a ~10% increase. This signals management confidence in cash flow generation. (Source: MarketBeat, July 2026)</w:t>
      </w:r>
    </w:p>
    <w:p>
      <w:pPr>
        <w:pStyle w:val="ListBullet"/>
        <w:ind w:left="360" w:hanging="360"/>
      </w:pPr>
      <w:r>
        <w:rPr>
          <w:rFonts w:ascii="Calibri" w:hAnsi="Calibri"/>
          <w:b/>
          <w:color w:val="525866"/>
          <w:sz w:val="22"/>
        </w:rPr>
        <w:t xml:space="preserve">Board Expansion: </w:t>
      </w:r>
      <w:r>
        <w:rPr>
          <w:rFonts w:ascii="Calibri" w:hAnsi="Calibri"/>
          <w:color w:val="525866"/>
          <w:sz w:val="22"/>
        </w:rPr>
        <w:t>Peter Harrison, formerly CEO of Schroders plc, was appointed to the Board of Directors, bringing the board to 13 members. (Source: Barclays research note, March 2026)</w:t>
      </w:r>
    </w:p>
    <w:p>
      <w:pPr>
        <w:pStyle w:val="ListBullet"/>
        <w:ind w:left="360" w:hanging="360"/>
      </w:pPr>
      <w:r>
        <w:rPr>
          <w:rFonts w:ascii="Calibri" w:hAnsi="Calibri"/>
          <w:b/>
          <w:color w:val="525866"/>
          <w:sz w:val="22"/>
        </w:rPr>
        <w:t xml:space="preserve">Global Insurance Investments Survey: </w:t>
      </w:r>
      <w:r>
        <w:rPr>
          <w:rFonts w:ascii="Calibri" w:hAnsi="Calibri"/>
          <w:color w:val="525866"/>
          <w:sz w:val="22"/>
        </w:rPr>
        <w:t>Marsh released findings of its 2026 Global Insurance Investments Survey in July 2026, reinforcing its thought leadership positioning in the risk advisory space. (Source: MRSH press release, July 2026)</w:t>
      </w:r>
    </w:p>
    <w:p>
      <w:pPr>
        <w:pStyle w:val="ListBullet"/>
        <w:ind w:left="360" w:hanging="360"/>
      </w:pPr>
      <w:r>
        <w:rPr>
          <w:rFonts w:ascii="Calibri" w:hAnsi="Calibri"/>
          <w:b/>
          <w:color w:val="525866"/>
          <w:sz w:val="22"/>
        </w:rPr>
        <w:t xml:space="preserve">Analyst Actions (Post-Q1 2026): </w:t>
      </w:r>
      <w:r>
        <w:rPr>
          <w:rFonts w:ascii="Calibri" w:hAnsi="Calibri"/>
          <w:color w:val="525866"/>
          <w:sz w:val="22"/>
        </w:rPr>
        <w:t>Mizuho downgraded to Neutral (target cut from $199 to $193, citing valuation); Raymond James upgraded to Strong Buy (target $225, citing valuation reset); Barclays maintained Overweight ($206–$210 target); Morgan Stanley maintained Equal Weight ($190 target); Wells Fargo maintained Equal Weight ($178 target). Consensus rating: Hold, avg. target ~$200.81. (Source: MarketBeat, April–July 2026)</w:t>
      </w:r>
    </w:p>
    <w:p>
      <w:pPr>
        <w:pStyle w:val="ListBullet"/>
        <w:ind w:left="360" w:hanging="360"/>
      </w:pPr>
      <w:r>
        <w:rPr>
          <w:rFonts w:ascii="Calibri" w:hAnsi="Calibri"/>
          <w:b/>
          <w:color w:val="525866"/>
          <w:sz w:val="22"/>
        </w:rPr>
        <w:t xml:space="preserve">Institutional Activity: </w:t>
      </w:r>
      <w:r>
        <w:rPr>
          <w:rFonts w:ascii="Calibri" w:hAnsi="Calibri"/>
          <w:color w:val="525866"/>
          <w:sz w:val="22"/>
        </w:rPr>
        <w:t>State of Michigan Retirement System opened a new position in Q1 2026 (130,775 shares, ~$22.68M). Several other institutional investors added positions in Q1–Q2 2026. (Source: SEC filings / MarketBeat, July 2026)</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notable insider transaction in the recent period was a </w:t>
      </w:r>
      <w:r>
        <w:rPr>
          <w:rFonts w:ascii="Calibri" w:hAnsi="Calibri"/>
          <w:b/>
          <w:color w:val="525866"/>
          <w:sz w:val="22"/>
        </w:rPr>
        <w:t>CEO share sale in early March 2026</w:t>
      </w:r>
      <w:r>
        <w:rPr>
          <w:rFonts w:ascii="Calibri" w:hAnsi="Calibri"/>
          <w:color w:val="525866"/>
          <w:sz w:val="22"/>
        </w:rPr>
        <w:t xml:space="preserve"> — a modest disposition that reduced CEO John Doyle's position by ~12.5%. No insider purchases have been identified. The sale occurred at ~$183/share, near current levels, and may have been a planned 10b5-1 transaction. No other material insider activity was found in the SEC Form 4 database for the period.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Date</w:t>
            </w:r>
          </w:p>
        </w:tc>
        <w:tc>
          <w:tcPr>
            <w:tcW w:type="dxa" w:w="1080"/>
            <w:shd w:val="clear" w:color="auto" w:fill="3B4259"/>
          </w:tcPr>
          <w:p>
            <w:r>
              <w:rPr>
                <w:rFonts w:ascii="Calibri" w:hAnsi="Calibri"/>
                <w:b/>
                <w:color w:val="FFFFFF"/>
                <w:sz w:val="22"/>
              </w:rPr>
              <w:t>Insider</w:t>
            </w:r>
          </w:p>
        </w:tc>
        <w:tc>
          <w:tcPr>
            <w:tcW w:type="dxa" w:w="1080"/>
            <w:shd w:val="clear" w:color="auto" w:fill="3B4259"/>
          </w:tcPr>
          <w:p>
            <w:r>
              <w:rPr>
                <w:rFonts w:ascii="Calibri" w:hAnsi="Calibri"/>
                <w:b/>
                <w:color w:val="FFFFFF"/>
                <w:sz w:val="22"/>
              </w:rPr>
              <w:t>Role</w:t>
            </w:r>
          </w:p>
        </w:tc>
        <w:tc>
          <w:tcPr>
            <w:tcW w:type="dxa" w:w="1080"/>
            <w:shd w:val="clear" w:color="auto" w:fill="3B4259"/>
          </w:tcPr>
          <w:p>
            <w:r>
              <w:rPr>
                <w:rFonts w:ascii="Calibri" w:hAnsi="Calibri"/>
                <w:b/>
                <w:color w:val="FFFFFF"/>
                <w:sz w:val="22"/>
              </w:rPr>
              <w:t>Transaction</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Price</w:t>
            </w:r>
          </w:p>
        </w:tc>
        <w:tc>
          <w:tcPr>
            <w:tcW w:type="dxa" w:w="1080"/>
            <w:shd w:val="clear" w:color="auto" w:fill="3B4259"/>
          </w:tcPr>
          <w:p>
            <w:r>
              <w:rPr>
                <w:rFonts w:ascii="Calibri" w:hAnsi="Calibri"/>
                <w:b/>
                <w:color w:val="FFFFFF"/>
                <w:sz w:val="22"/>
              </w:rPr>
              <w:t>Value</w:t>
            </w:r>
          </w:p>
        </w:tc>
        <w:tc>
          <w:tcPr>
            <w:tcW w:type="dxa" w:w="1080"/>
            <w:shd w:val="clear" w:color="auto" w:fill="3B4259"/>
          </w:tcPr>
          <w:p>
            <w:r>
              <w:rPr>
                <w:rFonts w:ascii="Calibri" w:hAnsi="Calibri"/>
                <w:b/>
                <w:color w:val="FFFFFF"/>
                <w:sz w:val="22"/>
              </w:rPr>
              <w:t>% of Position</w:t>
            </w:r>
          </w:p>
        </w:tc>
      </w:tr>
      <w:tr>
        <w:tc>
          <w:tcPr>
            <w:tcW w:type="dxa" w:w="1080"/>
          </w:tcPr>
          <w:p>
            <w:r>
              <w:rPr>
                <w:rFonts w:ascii="Calibri" w:hAnsi="Calibri"/>
                <w:sz w:val="22"/>
              </w:rPr>
              <w:t>March 4, 2026</w:t>
            </w:r>
          </w:p>
        </w:tc>
        <w:tc>
          <w:tcPr>
            <w:tcW w:type="dxa" w:w="1080"/>
          </w:tcPr>
          <w:p>
            <w:r>
              <w:rPr>
                <w:rFonts w:ascii="Calibri" w:hAnsi="Calibri"/>
                <w:sz w:val="22"/>
              </w:rPr>
              <w:t>John Q. Doyle</w:t>
            </w:r>
          </w:p>
        </w:tc>
        <w:tc>
          <w:tcPr>
            <w:tcW w:type="dxa" w:w="1080"/>
          </w:tcPr>
          <w:p>
            <w:r>
              <w:rPr>
                <w:rFonts w:ascii="Calibri" w:hAnsi="Calibri"/>
                <w:sz w:val="22"/>
              </w:rPr>
              <w:t>CEO</w:t>
            </w:r>
          </w:p>
        </w:tc>
        <w:tc>
          <w:tcPr>
            <w:tcW w:type="dxa" w:w="1080"/>
          </w:tcPr>
          <w:p>
            <w:r>
              <w:rPr>
                <w:rFonts w:ascii="Calibri" w:hAnsi="Calibri"/>
                <w:sz w:val="22"/>
              </w:rPr>
              <w:t>Sale (Disposition)</w:t>
            </w:r>
          </w:p>
        </w:tc>
        <w:tc>
          <w:tcPr>
            <w:tcW w:type="dxa" w:w="1080"/>
          </w:tcPr>
          <w:p>
            <w:r>
              <w:rPr>
                <w:rFonts w:ascii="Calibri" w:hAnsi="Calibri"/>
                <w:sz w:val="22"/>
              </w:rPr>
              <w:t>16,655</w:t>
            </w:r>
          </w:p>
        </w:tc>
        <w:tc>
          <w:tcPr>
            <w:tcW w:type="dxa" w:w="1080"/>
          </w:tcPr>
          <w:p>
            <w:r>
              <w:rPr>
                <w:rFonts w:ascii="Calibri" w:hAnsi="Calibri"/>
                <w:sz w:val="22"/>
              </w:rPr>
              <w:t>$183.30</w:t>
            </w:r>
          </w:p>
        </w:tc>
        <w:tc>
          <w:tcPr>
            <w:tcW w:type="dxa" w:w="1080"/>
          </w:tcPr>
          <w:p>
            <w:r>
              <w:rPr>
                <w:rFonts w:ascii="Calibri" w:hAnsi="Calibri"/>
                <w:sz w:val="22"/>
              </w:rPr>
              <w:t>$3.05M</w:t>
            </w:r>
          </w:p>
        </w:tc>
        <w:tc>
          <w:tcPr>
            <w:tcW w:type="dxa" w:w="1080"/>
          </w:tcPr>
          <w:p>
            <w:r>
              <w:rPr>
                <w:rFonts w:ascii="Calibri" w:hAnsi="Calibri"/>
                <w:sz w:val="22"/>
              </w:rPr>
              <w:t>-12.48%</w:t>
            </w:r>
          </w:p>
        </w:tc>
      </w:tr>
    </w:tbl>
    <w:p>
      <w:r>
        <w:rPr>
          <w:rFonts w:ascii="Calibri" w:hAnsi="Calibri"/>
          <w:i/>
          <w:color w:val="525866"/>
          <w:sz w:val="22"/>
        </w:rPr>
        <w:t>Source: SEC Form 4 filings; MarketBeat (April 13, 2026). Note: No insider purchase activity identified in the SEC Form 4 database for the period reviewed. Insiders own approximately 0.38% of total shares outstanding.</w:t>
      </w:r>
    </w:p>
    <w:p>
      <w:r>
        <w:rPr>
          <w:rFonts w:ascii="Calibri" w:hAnsi="Calibri"/>
          <w:b/>
          <w:color w:val="525866"/>
          <w:sz w:val="22"/>
        </w:rPr>
        <w:t xml:space="preserve">Context: </w:t>
      </w:r>
      <w:r>
        <w:rPr>
          <w:rFonts w:ascii="Calibri" w:hAnsi="Calibri"/>
          <w:color w:val="525866"/>
          <w:sz w:val="22"/>
        </w:rPr>
        <w:t>The CEO sale at $183.30 on March 4, 2026 occurred during a period of stock weakness (the stock had pulled back from ~$189 in early February). The sale may reflect a pre-planned 10b5-1 trading plan rather than a directional view. The absence of any insider buying at current levels (~$182) is a mild negative signal, though the low insider ownership base (0.38%) limits the read-through significance.</w:t>
      </w:r>
    </w:p>
    <w:p>
      <w:r>
        <w:br w:type="page"/>
      </w:r>
    </w:p>
    <w:p>
      <w:pPr>
        <w:pStyle w:val="Heading2"/>
      </w:pPr>
      <w:r>
        <w:rPr>
          <w:rFonts w:ascii="Calibri" w:hAnsi="Calibri"/>
          <w:b/>
          <w:color w:val="3B4259"/>
          <w:sz w:val="28"/>
        </w:rPr>
        <w:t>Appendix: Key Risks &amp; Considerations</w:t>
      </w:r>
    </w:p>
    <w:p>
      <w:pPr>
        <w:pStyle w:val="ListBullet"/>
        <w:ind w:left="360" w:hanging="360"/>
      </w:pPr>
      <w:r>
        <w:rPr>
          <w:rFonts w:ascii="Calibri" w:hAnsi="Calibri"/>
          <w:b/>
          <w:color w:val="525866"/>
          <w:sz w:val="22"/>
        </w:rPr>
        <w:t xml:space="preserve">Property Rate Softening: </w:t>
      </w:r>
      <w:r>
        <w:rPr>
          <w:rFonts w:ascii="Calibri" w:hAnsi="Calibri"/>
          <w:color w:val="525866"/>
          <w:sz w:val="22"/>
        </w:rPr>
        <w:t>Continued deceleration in property insurance rates (down 9–15% per AJG/AON) could weigh on Marsh Risk's organic growth beyond consensus expectations, particularly for large account renewals.</w:t>
      </w:r>
    </w:p>
    <w:p>
      <w:pPr>
        <w:pStyle w:val="ListBullet"/>
        <w:ind w:left="360" w:hanging="360"/>
      </w:pPr>
      <w:r>
        <w:rPr>
          <w:rFonts w:ascii="Calibri" w:hAnsi="Calibri"/>
          <w:b/>
          <w:color w:val="525866"/>
          <w:sz w:val="22"/>
        </w:rPr>
        <w:t xml:space="preserve">Guy Carpenter Reinsurance Headwind: </w:t>
      </w:r>
      <w:r>
        <w:rPr>
          <w:rFonts w:ascii="Calibri" w:hAnsi="Calibri"/>
          <w:color w:val="525866"/>
          <w:sz w:val="22"/>
        </w:rPr>
        <w:t>GC grew only 2% organically in Q1 2026 vs. 5% in Q4 2025. If reinsurance market conditions remain soft in Q2, GC could be a drag on overall RIS segment growth.</w:t>
      </w:r>
    </w:p>
    <w:p>
      <w:pPr>
        <w:pStyle w:val="ListBullet"/>
        <w:ind w:left="360" w:hanging="360"/>
      </w:pPr>
      <w:r>
        <w:rPr>
          <w:rFonts w:ascii="Calibri" w:hAnsi="Calibri"/>
          <w:b/>
          <w:color w:val="525866"/>
          <w:sz w:val="22"/>
        </w:rPr>
        <w:t xml:space="preserve">Margin Expansion Timing: </w:t>
      </w:r>
      <w:r>
        <w:rPr>
          <w:rFonts w:ascii="Calibri" w:hAnsi="Calibri"/>
          <w:color w:val="525866"/>
          <w:sz w:val="22"/>
        </w:rPr>
        <w:t>Management guided for more margin expansion in H2 vs. H1. If Q2 margins disappoint vs. the prior year (29.5% in Q2 2025), the market may react negatively even if the full-year trajectory is intact.</w:t>
      </w:r>
    </w:p>
    <w:p>
      <w:pPr>
        <w:pStyle w:val="ListBullet"/>
        <w:ind w:left="360" w:hanging="360"/>
      </w:pPr>
      <w:r>
        <w:rPr>
          <w:rFonts w:ascii="Calibri" w:hAnsi="Calibri"/>
          <w:b/>
          <w:color w:val="525866"/>
          <w:sz w:val="22"/>
        </w:rPr>
        <w:t xml:space="preserve">FX Headwinds: </w:t>
      </w:r>
      <w:r>
        <w:rPr>
          <w:rFonts w:ascii="Calibri" w:hAnsi="Calibri"/>
          <w:color w:val="525866"/>
          <w:sz w:val="22"/>
        </w:rPr>
        <w:t>With ~40% of revenue from international markets, USD strength could create a meaningful FX drag on reported revenue growth, even if underlying growth is solid.</w:t>
      </w:r>
    </w:p>
    <w:p>
      <w:pPr>
        <w:pStyle w:val="ListBullet"/>
        <w:ind w:left="360" w:hanging="360"/>
      </w:pPr>
      <w:r>
        <w:rPr>
          <w:rFonts w:ascii="Calibri" w:hAnsi="Calibri"/>
          <w:b/>
          <w:color w:val="525866"/>
          <w:sz w:val="22"/>
        </w:rPr>
        <w:t xml:space="preserve">Fiduciary Interest Income Step-Down: </w:t>
      </w:r>
      <w:r>
        <w:rPr>
          <w:rFonts w:ascii="Calibri" w:hAnsi="Calibri"/>
          <w:color w:val="525866"/>
          <w:sz w:val="22"/>
        </w:rPr>
        <w:t>Management guided Q2 2026 fiduciary interest income to ~$80M (vs. ~$83M in Q1 2026), reflecting lower interest rates. This is a modest but real headwind to reported revenue.</w:t>
      </w:r>
    </w:p>
    <w:p>
      <w:pPr>
        <w:pStyle w:val="ListBullet"/>
        <w:ind w:left="360" w:hanging="360"/>
      </w:pPr>
      <w:r>
        <w:rPr>
          <w:rFonts w:ascii="Calibri" w:hAnsi="Calibri"/>
          <w:b/>
          <w:color w:val="525866"/>
          <w:sz w:val="22"/>
        </w:rPr>
        <w:t xml:space="preserve">Valuation: </w:t>
      </w:r>
      <w:r>
        <w:rPr>
          <w:rFonts w:ascii="Calibri" w:hAnsi="Calibri"/>
          <w:color w:val="525866"/>
          <w:sz w:val="22"/>
        </w:rPr>
        <w:t>At ~17.6x forward earnings, MRSH is not cheap for a professional services firm with ~4% organic growth. A miss on organic growth or margins could trigger further multiple compression.</w:t>
      </w:r>
    </w:p>
    <w:p>
      <w:pPr>
        <w:pStyle w:val="ListBullet"/>
        <w:ind w:left="360" w:hanging="360"/>
      </w:pPr>
      <w:r>
        <w:rPr>
          <w:rFonts w:ascii="Calibri" w:hAnsi="Calibri"/>
          <w:b/>
          <w:color w:val="525866"/>
          <w:sz w:val="22"/>
        </w:rPr>
        <w:t xml:space="preserve">CEO Leadership Transition at Marsh Risk: </w:t>
      </w:r>
      <w:r>
        <w:rPr>
          <w:rFonts w:ascii="Calibri" w:hAnsi="Calibri"/>
          <w:color w:val="525866"/>
          <w:sz w:val="22"/>
        </w:rPr>
        <w:t>The appointment of Nick Studer as President/CEO of Marsh Risk (replacing Martin South, who moves to Chief Client Officer) introduces some execution uncertainty at the flagship segment heading into a challenging pricing environment.</w:t>
      </w:r>
    </w:p>
    <w:p>
      <w:r>
        <w:rPr>
          <w:rFonts w:ascii="Calibri" w:hAnsi="Calibri"/>
          <w:b/>
          <w:i/>
          <w:color w:val="525866"/>
          <w:sz w:val="22"/>
        </w:rPr>
        <w:t>— End of Report —</w:t>
      </w:r>
    </w:p>
    <w:p>
      <w:r>
        <w:rPr>
          <w:rFonts w:ascii="Calibri" w:hAnsi="Calibri"/>
          <w:b/>
          <w:color w:val="525866"/>
          <w:sz w:val="22"/>
        </w:rPr>
        <w:t xml:space="preserve">Disclaimer: </w:t>
      </w:r>
      <w:r>
        <w:rPr>
          <w:rFonts w:ascii="Calibri" w:hAnsi="Calibri"/>
          <w:i/>
          <w:color w:val="525866"/>
          <w:sz w:val="22"/>
        </w:rPr>
        <w:t>This earnings preview is prepared for informational purposes only using publicly available data and consensus estimates from Visible Alpha. All estimates and consensus figures are sourced from Visible Alpha Consensus and Actuals Data. Peer commentary sourced from AJG Pre-Q2 2026 Investor Meeting (June 17, 2026) and AON Morgan Stanley U.S. Financials Conference (June 9, 2026) transcripts. Stock price data sourced from Yahoo Finance. Analyst ratings and price targets sourced from MarketBeat and public news sources. Prepared: July 20,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