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ci-earnings-predictions--2026-07-21"/>
    <w:p>
      <w:pPr>
        <w:pStyle w:val="Heading1"/>
      </w:pPr>
      <w:r>
        <w:t xml:space="preserve">MSCI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~$5.00 vs. cons $4.89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(ABF-driven)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~$868M vs. cons $856M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Index organic subscription run-rate growth (durability signal)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~10.5% vs. cons ~10%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expense (reinvestment framing)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305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335</m:t>
              </m:r>
              <m:r>
                <m:t>M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r</m:t>
              </m:r>
              <m:r>
                <m:t>e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o</m:t>
              </m:r>
              <m:r>
                <m:t>p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1,320M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470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530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1,500M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Analytics revenue growth (pre-warned decel)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~5% vs. cons ~7%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ABF revenue framework/AUM upside from record Q2 ETF flows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period-avg AUM up ~30% YoY (~</w:t>
            </w:r>
            <m:oMath>
              <m:r>
                <m:t>2.4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1.87T year-ago), ABF run-rate ~</w:t>
            </w:r>
            <m:oMath>
              <m:r>
                <m:t>880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700M (FY26 H2)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Expected clean beat is ABF/market-driven (lower quality) with a compressing fee rate (2.35bps) and a pre-warned Analytics decel to ~5%; the durability metrics (net-new sales, seasonally weak Q2 retention, Sustainability softness) leave little for out-period upward revisions. With the stock up ~16% off April lows, near highs, and elevated targets (~</w:t>
            </w:r>
            <m:oMath>
              <m:r>
                <m:t>690</m:t>
              </m:r>
              <m:r>
                <m:rPr>
                  <m:sty m:val="p"/>
                </m:rPr>
                <m:t>−</m:t>
              </m:r>
              <m:r>
                <m:t>760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625, the initial ABF-fueled pop partially gives back as estimates don't re-rate the market-linked beat into out-years.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2026-07-21T00:49:19Z</dcterms:created>
  <dcterms:modified xsi:type="dcterms:W3CDTF">2026-07-21T00:49:19Z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